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R4-2405621</w:t>
      </w:r>
      <w:bookmarkStart w:id="741" w:name="_GoBack"/>
      <w:bookmarkEnd w:id="741"/>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9.8.2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ATG UE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RF requirements for ATG UE supporting intra-band DL CA and inter-band DL CA and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0"/>
                <w:numId w:val="2"/>
              </w:numPr>
              <w:suppressLineNumbers w:val="0"/>
              <w:spacing w:before="0" w:beforeAutospacing="0" w:afterAutospacing="0"/>
              <w:ind w:right="0"/>
              <w:rPr>
                <w:rFonts w:hint="default" w:eastAsia="等线"/>
                <w:lang w:eastAsia="zh-CN"/>
              </w:rPr>
            </w:pPr>
            <w:r>
              <w:rPr>
                <w:rFonts w:hint="default" w:eastAsia="等线"/>
                <w:lang w:eastAsia="zh-CN"/>
              </w:rPr>
              <w:t>Specify the RF and RRM core requirements for intra-band co-located and inter-band co-located DL CA</w:t>
            </w:r>
            <w:r>
              <w:rPr>
                <w:rFonts w:hint="eastAsia" w:eastAsia="等线"/>
                <w:lang w:eastAsia="zh-CN"/>
              </w:rPr>
              <w:t xml:space="preserve"> [RAN4]</w:t>
            </w:r>
            <w:r>
              <w:rPr>
                <w:rFonts w:hint="default" w:eastAsia="等线"/>
                <w:lang w:eastAsia="zh-CN"/>
              </w:rPr>
              <w:t>:</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default" w:eastAsia="等线"/>
                <w:lang w:eastAsia="zh-CN"/>
              </w:rPr>
              <w:t>FR1 intra-band contiguous CA</w:t>
            </w:r>
          </w:p>
          <w:p>
            <w:pPr>
              <w:pStyle w:val="36"/>
              <w:keepNext w:val="0"/>
              <w:keepLines w:val="0"/>
              <w:numPr>
                <w:ilvl w:val="2"/>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eastAsia" w:eastAsia="等线"/>
                <w:lang w:eastAsia="zh-CN"/>
              </w:rPr>
              <w:t>Example band combination: n79</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default" w:eastAsia="等线"/>
                <w:lang w:eastAsia="zh-CN"/>
              </w:rPr>
              <w:t>FR1+FR1 inter-band CA</w:t>
            </w:r>
          </w:p>
          <w:p>
            <w:pPr>
              <w:pStyle w:val="36"/>
              <w:keepNext w:val="0"/>
              <w:keepLines w:val="0"/>
              <w:numPr>
                <w:ilvl w:val="2"/>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eastAsia" w:eastAsia="等线"/>
                <w:lang w:eastAsia="zh-CN"/>
              </w:rPr>
              <w:t xml:space="preserve">Example band combination: </w:t>
            </w:r>
            <w:r>
              <w:rPr>
                <w:rFonts w:hint="eastAsia" w:eastAsia="等线"/>
                <w:highlight w:val="none"/>
                <w:lang w:eastAsia="zh-CN"/>
              </w:rPr>
              <w:t>n3+n39</w:t>
            </w:r>
          </w:p>
          <w:p>
            <w:pPr>
              <w:pStyle w:val="36"/>
              <w:keepNext w:val="0"/>
              <w:keepLines w:val="0"/>
              <w:numPr>
                <w:ilvl w:val="0"/>
                <w:numId w:val="2"/>
              </w:numPr>
              <w:suppressLineNumbers w:val="0"/>
              <w:spacing w:before="0" w:beforeAutospacing="0" w:afterAutospacing="0"/>
              <w:ind w:right="0"/>
              <w:rPr>
                <w:rFonts w:hint="default"/>
                <w:vertAlign w:val="baseline"/>
                <w:lang w:val="en-US" w:eastAsia="zh-CN"/>
              </w:rPr>
            </w:pPr>
            <w:r>
              <w:rPr>
                <w:rFonts w:hint="default" w:eastAsia="等线"/>
                <w:lang w:eastAsia="zh-CN"/>
              </w:rPr>
              <w:t>Specify the RF requirements for support of UL MIMO with 2TX for single CC for UE.</w:t>
            </w:r>
            <w:r>
              <w:rPr>
                <w:rFonts w:hint="eastAsia" w:eastAsia="等线"/>
                <w:lang w:eastAsia="zh-CN"/>
              </w:rPr>
              <w:t xml:space="preserve"> [RAN4]</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RF requirements for UL MIMO</w:t>
      </w:r>
      <w:r>
        <w:rPr>
          <w:rFonts w:hint="eastAsia" w:eastAsia="Times New Roman"/>
          <w:sz w:val="28"/>
          <w:szCs w:val="28"/>
        </w:rPr>
        <w:t xml:space="preserve"> </w:t>
      </w:r>
    </w:p>
    <w:p>
      <w:pPr>
        <w:tabs>
          <w:tab w:val="left" w:pos="2127"/>
        </w:tabs>
        <w:spacing w:after="0"/>
        <w:rPr>
          <w:rFonts w:hint="default"/>
          <w:lang w:val="en-US" w:eastAsia="zh-CN"/>
        </w:rPr>
      </w:pPr>
      <w:r>
        <w:rPr>
          <w:rFonts w:hint="eastAsia"/>
          <w:lang w:val="en-US" w:eastAsia="zh-CN"/>
        </w:rPr>
        <w:t xml:space="preserve">As shown in the approved objective, FR1 ATG UE is supposed to support the UL MIMO with single carrier operation in Rel-19, therefore in the following table 1, we provide some initial analysis on the overall requirement for ATG UE supporting UL MIMO and also provided the summary of proposals for it. </w:t>
      </w:r>
    </w:p>
    <w:p>
      <w:pPr>
        <w:tabs>
          <w:tab w:val="left" w:pos="2127"/>
        </w:tabs>
        <w:spacing w:after="0"/>
        <w:jc w:val="center"/>
        <w:rPr>
          <w:rFonts w:hint="default"/>
          <w:lang w:val="en-US" w:eastAsia="zh-CN"/>
        </w:rPr>
      </w:pPr>
      <w:r>
        <w:rPr>
          <w:rFonts w:hint="eastAsia"/>
          <w:lang w:val="en-US" w:eastAsia="zh-CN"/>
        </w:rPr>
        <w:t>Table 1. Analysis and summary of proposals for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The existing RF requirement for UL MIMO</w:t>
            </w:r>
          </w:p>
        </w:tc>
        <w:tc>
          <w:tcPr>
            <w:tcW w:w="4981" w:type="dxa"/>
          </w:tcPr>
          <w:p>
            <w:pPr>
              <w:keepNext w:val="0"/>
              <w:keepLines w:val="0"/>
              <w:widowControl/>
              <w:suppressLineNumbers w:val="0"/>
              <w:tabs>
                <w:tab w:val="right" w:pos="4765"/>
              </w:tabs>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ATG UE supporting UL MIMO</w:t>
            </w:r>
            <w:r>
              <w:rPr>
                <w:rFonts w:hint="eastAsia"/>
                <w:highlight w:val="none"/>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6.2D</w:t>
            </w:r>
            <w:r>
              <w:rPr>
                <w:rFonts w:hint="eastAsia"/>
                <w:highlight w:val="none"/>
                <w:lang w:val="en-US" w:eastAsia="zh-CN"/>
              </w:rPr>
              <w:t xml:space="preserve"> </w:t>
            </w:r>
            <w:r>
              <w:rPr>
                <w:rFonts w:hint="default"/>
                <w:highlight w:val="none"/>
              </w:rPr>
              <w:t>Transmitter power for UL MIMO</w:t>
            </w:r>
          </w:p>
        </w:tc>
        <w:tc>
          <w:tcPr>
            <w:tcW w:w="4981" w:type="dxa"/>
          </w:tcPr>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highlight w:val="none"/>
                <w:vertAlign w:val="baseline"/>
                <w:lang w:val="en-US" w:eastAsia="zh-CN"/>
              </w:rPr>
              <w:t>First of all, from the implementation perspective, 2 UL MIMO with MIMO layers up to 2 should be sufficient considering the limited space at the</w:t>
            </w:r>
            <w:r>
              <w:rPr>
                <w:rFonts w:hint="eastAsia" w:ascii="Times New Roman" w:hAnsi="Times New Roman" w:eastAsia="宋体" w:cs="Times New Roman"/>
                <w:i w:val="0"/>
                <w:iCs w:val="0"/>
                <w:caps w:val="0"/>
                <w:spacing w:val="0"/>
                <w:sz w:val="21"/>
                <w:szCs w:val="22"/>
                <w:highlight w:val="none"/>
                <w:shd w:val="clear"/>
              </w:rPr>
              <w:t xml:space="preserve"> bottom</w:t>
            </w:r>
            <w:r>
              <w:rPr>
                <w:rFonts w:hint="eastAsia" w:ascii="Times New Roman" w:hAnsi="Times New Roman" w:eastAsia="宋体" w:cs="Times New Roman"/>
                <w:i w:val="0"/>
                <w:iCs w:val="0"/>
                <w:caps w:val="0"/>
                <w:spacing w:val="0"/>
                <w:sz w:val="21"/>
                <w:szCs w:val="22"/>
                <w:highlight w:val="none"/>
                <w:shd w:val="clear"/>
                <w:lang w:val="en-US" w:eastAsia="zh-CN"/>
              </w:rPr>
              <w:t xml:space="preserve"> or the side</w:t>
            </w:r>
            <w:r>
              <w:rPr>
                <w:rFonts w:hint="eastAsia" w:ascii="Times New Roman" w:hAnsi="Times New Roman" w:eastAsia="宋体" w:cs="Times New Roman"/>
                <w:i w:val="0"/>
                <w:iCs w:val="0"/>
                <w:caps w:val="0"/>
                <w:spacing w:val="0"/>
                <w:sz w:val="21"/>
                <w:szCs w:val="22"/>
                <w:highlight w:val="none"/>
                <w:shd w:val="clear"/>
              </w:rPr>
              <w:t xml:space="preserve"> of the airplane</w:t>
            </w:r>
            <w:r>
              <w:rPr>
                <w:rFonts w:hint="eastAsia" w:cs="Times New Roman"/>
                <w:i w:val="0"/>
                <w:iCs w:val="0"/>
                <w:caps w:val="0"/>
                <w:spacing w:val="0"/>
                <w:sz w:val="21"/>
                <w:szCs w:val="22"/>
                <w:highlight w:val="none"/>
                <w:shd w:val="clear"/>
                <w:lang w:val="en-US" w:eastAsia="zh-CN"/>
              </w:rPr>
              <w:t xml:space="preserve">. </w:t>
            </w:r>
          </w:p>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UL MIMO with 2 layers should be specified for ATG UE in Rel-19. </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widowControl/>
              <w:suppressLineNumbers w:val="0"/>
              <w:spacing w:before="0" w:beforeAutospacing="0" w:afterAutospacing="0"/>
              <w:ind w:left="0" w:right="0"/>
              <w:jc w:val="left"/>
              <w:rPr>
                <w:rFonts w:hint="eastAsia" w:eastAsia="宋体"/>
                <w:highlight w:val="none"/>
                <w:vertAlign w:val="baseline"/>
                <w:lang w:val="en-US" w:eastAsia="zh-CN"/>
              </w:rPr>
            </w:pPr>
            <w:r>
              <w:rPr>
                <w:rFonts w:hint="eastAsia"/>
                <w:highlight w:val="none"/>
                <w:vertAlign w:val="baseline"/>
                <w:lang w:val="en-US" w:eastAsia="zh-CN"/>
              </w:rPr>
              <w:t xml:space="preserve">For ATG UE supporting UL MIMO, the transmitted power is configured per each UE. Regarding the MPR requirement for ATG UE supporting UL MIMO and additional MPR requirement for ATG UE, similar as Rel-18 ATG UE MPR discussions, there is no necessity to define this requirements and ATG UE could report its </w:t>
            </w:r>
            <w:r>
              <w:rPr>
                <w:rFonts w:hint="default"/>
                <w:i/>
                <w:highlight w:val="none"/>
              </w:rPr>
              <w:t>maxOutputPowerATG-r18</w:t>
            </w:r>
            <w:r>
              <w:rPr>
                <w:rFonts w:hint="eastAsia"/>
                <w:i/>
                <w:highlight w:val="none"/>
                <w:lang w:val="en-US" w:eastAsia="zh-CN"/>
              </w:rPr>
              <w:t xml:space="preserve"> </w:t>
            </w:r>
            <w:r>
              <w:rPr>
                <w:rFonts w:hint="eastAsia"/>
                <w:i w:val="0"/>
                <w:highlight w:val="none"/>
                <w:lang w:val="en-US" w:eastAsia="zh-CN"/>
              </w:rPr>
              <w:t xml:space="preserve">under the UL MIMO mode.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each UE, and it is not needed to define MPR/A-MPR requirements for ATG UE supporting UL MIMO[since there will be power tolerance requirement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6.3D</w:t>
            </w:r>
            <w:r>
              <w:rPr>
                <w:rFonts w:hint="default" w:asciiTheme="minorHAnsi" w:hAnsiTheme="minorHAnsi" w:eastAsiaTheme="minorEastAsia" w:cstheme="minorBidi"/>
                <w:sz w:val="22"/>
                <w:szCs w:val="22"/>
                <w:highlight w:val="none"/>
              </w:rPr>
              <w:tab/>
            </w:r>
            <w:r>
              <w:rPr>
                <w:rFonts w:hint="default"/>
                <w:highlight w:val="none"/>
              </w:rPr>
              <w:t>Output power dynamics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eastAsia"/>
                <w:b/>
                <w:bCs/>
                <w:highlight w:val="none"/>
                <w:vertAlign w:val="baseline"/>
                <w:lang w:val="en-US" w:eastAsia="zh-CN"/>
              </w:rPr>
              <w:t>For minimum output power</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6.3D.1 for two antenna connectors could be applied and single antenna port related requirement is not applicable.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widowControl/>
              <w:suppressLineNumbers w:val="0"/>
              <w:spacing w:before="0" w:beforeAutospacing="0" w:afterAutospacing="0"/>
              <w:ind w:left="0" w:right="0"/>
              <w:jc w:val="left"/>
              <w:rPr>
                <w:rFonts w:hint="default"/>
                <w:b/>
                <w:bCs/>
                <w:highlight w:val="none"/>
              </w:rPr>
            </w:pPr>
            <w:r>
              <w:rPr>
                <w:rFonts w:hint="eastAsia"/>
                <w:b/>
                <w:bCs/>
                <w:highlight w:val="none"/>
                <w:vertAlign w:val="baseline"/>
                <w:lang w:val="en-US" w:eastAsia="zh-CN"/>
              </w:rPr>
              <w:t xml:space="preserve">For </w:t>
            </w:r>
            <w:r>
              <w:rPr>
                <w:rFonts w:hint="eastAsia"/>
                <w:b/>
                <w:bCs/>
                <w:highlight w:val="none"/>
                <w:lang w:val="en-US" w:eastAsia="zh-CN"/>
              </w:rPr>
              <w:t>t</w:t>
            </w:r>
            <w:r>
              <w:rPr>
                <w:rFonts w:hint="default"/>
                <w:b/>
                <w:bCs/>
                <w:highlight w:val="none"/>
              </w:rPr>
              <w:t>ransmit OFF power</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6.3D.2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5</w:t>
            </w:r>
            <w:r>
              <w:rPr>
                <w:rFonts w:hint="eastAsia"/>
                <w:highlight w:val="none"/>
                <w:lang w:val="en-US" w:eastAsia="zh-CN"/>
              </w:rPr>
              <w:t>: for transmit OFF power, to reuse the existing requirements in clause 6.3D.2 for two antenna connectors.</w:t>
            </w:r>
          </w:p>
          <w:p>
            <w:pPr>
              <w:keepNext w:val="0"/>
              <w:keepLines w:val="0"/>
              <w:widowControl/>
              <w:suppressLineNumbers w:val="0"/>
              <w:spacing w:before="0" w:beforeAutospacing="0" w:afterAutospacing="0"/>
              <w:ind w:left="0" w:right="0"/>
              <w:jc w:val="left"/>
              <w:rPr>
                <w:rFonts w:hint="default"/>
                <w:b/>
                <w:bCs/>
                <w:highlight w:val="none"/>
              </w:rPr>
            </w:pPr>
            <w:r>
              <w:rPr>
                <w:rFonts w:hint="eastAsia"/>
                <w:b/>
                <w:bCs/>
                <w:highlight w:val="none"/>
                <w:lang w:val="en-US" w:eastAsia="zh-CN"/>
              </w:rPr>
              <w:t xml:space="preserve">For </w:t>
            </w:r>
            <w:r>
              <w:rPr>
                <w:rFonts w:hint="default"/>
                <w:b/>
                <w:bCs/>
                <w:highlight w:val="none"/>
              </w:rPr>
              <w:t>Transmit ON/OFF time mask for UL MIMO</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6.3D.3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6</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6.4D</w:t>
            </w:r>
            <w:r>
              <w:rPr>
                <w:rFonts w:hint="default" w:asciiTheme="minorHAnsi" w:hAnsiTheme="minorHAnsi" w:eastAsiaTheme="minorEastAsia" w:cstheme="minorBidi"/>
                <w:sz w:val="22"/>
                <w:szCs w:val="22"/>
                <w:highlight w:val="none"/>
              </w:rPr>
              <w:tab/>
            </w:r>
            <w:r>
              <w:rPr>
                <w:rFonts w:hint="default"/>
                <w:highlight w:val="none"/>
              </w:rPr>
              <w:t>Transmit signal quality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General</w:t>
            </w:r>
          </w:p>
          <w:p>
            <w:pPr>
              <w:keepNext w:val="0"/>
              <w:keepLines w:val="0"/>
              <w:widowControl/>
              <w:suppressLineNumbers w:val="0"/>
              <w:spacing w:before="0" w:beforeAutospacing="0" w:afterAutospacing="0"/>
              <w:ind w:left="0" w:right="0"/>
              <w:jc w:val="left"/>
              <w:rPr>
                <w:rFonts w:hint="eastAsia"/>
                <w:b w:val="0"/>
                <w:bCs w:val="0"/>
                <w:highlight w:val="none"/>
                <w:lang w:val="en-US" w:eastAsia="zh-CN"/>
              </w:rPr>
            </w:pPr>
            <w:r>
              <w:rPr>
                <w:rFonts w:hint="default"/>
                <w:b w:val="0"/>
                <w:bCs w:val="0"/>
                <w:highlight w:val="none"/>
                <w:lang w:val="en-US" w:eastAsia="zh-CN"/>
              </w:rPr>
              <w:t>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7</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Frequency error for UL MIMO</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8:</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Transmit modulation quality for UL MIMO</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6.4D.2</w:t>
            </w:r>
            <w:r>
              <w:rPr>
                <w:rFonts w:hint="eastAsia"/>
                <w:highlight w:val="none"/>
                <w:lang w:val="en-US" w:eastAsia="zh-CN"/>
              </w:rPr>
              <w:t xml:space="preserve">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9</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Time alignment error for UL MIMO</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w:t>
            </w:r>
            <w:r>
              <w:rPr>
                <w:rFonts w:hint="eastAsia"/>
                <w:highlight w:val="none"/>
                <w:lang w:val="en-US" w:eastAsia="zh-CN"/>
              </w:rPr>
              <w:t>3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10</w:t>
            </w:r>
            <w:r>
              <w:rPr>
                <w:rFonts w:hint="eastAsia"/>
                <w:highlight w:val="none"/>
                <w:lang w:val="en-US" w:eastAsia="zh-CN"/>
              </w:rPr>
              <w:t>: for TAE requirement for UL MIMO, reuse the existing requirement in clause 6.4D.3.</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Requirements for coherent UL MIMO</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From our understanding, the coherent UL MIMO might be not necessary to ATG UE with UL MIMO due to its implementation complexity for internal phase calibration. </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11</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Output RF spectrum emissions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bookmarkStart w:id="5" w:name="_Toc83580754"/>
            <w:bookmarkStart w:id="6" w:name="_Toc45888951"/>
            <w:bookmarkStart w:id="7" w:name="_Toc61373032"/>
            <w:bookmarkStart w:id="8" w:name="_Toc29802956"/>
            <w:bookmarkStart w:id="9" w:name="_Toc29801907"/>
            <w:bookmarkStart w:id="10" w:name="_Toc61367649"/>
            <w:bookmarkStart w:id="11" w:name="_Toc76718416"/>
            <w:bookmarkStart w:id="12" w:name="_Toc29802331"/>
            <w:bookmarkStart w:id="13" w:name="_Toc45888352"/>
            <w:bookmarkStart w:id="14" w:name="_Toc36107698"/>
            <w:bookmarkStart w:id="15" w:name="_Toc37251472"/>
            <w:bookmarkStart w:id="16" w:name="_Toc21344420"/>
            <w:bookmarkStart w:id="17" w:name="_Toc69084394"/>
            <w:bookmarkStart w:id="18" w:name="_Toc75467404"/>
            <w:bookmarkStart w:id="19" w:name="_Toc68230981"/>
            <w:bookmarkStart w:id="20" w:name="_Toc84413872"/>
            <w:bookmarkStart w:id="21" w:name="_Toc76509426"/>
            <w:bookmarkStart w:id="22" w:name="_Toc84405263"/>
            <w:r>
              <w:rPr>
                <w:rFonts w:hint="default"/>
                <w:b/>
                <w:bCs/>
                <w:highlight w:val="none"/>
              </w:rPr>
              <w:t>Occupied bandwidth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w:t>
            </w:r>
            <w:r>
              <w:rPr>
                <w:rFonts w:hint="eastAsia"/>
                <w:highlight w:val="none"/>
                <w:lang w:val="en-US" w:eastAsia="zh-CN"/>
              </w:rPr>
              <w:t>5</w:t>
            </w:r>
            <w:r>
              <w:rPr>
                <w:rFonts w:hint="default"/>
                <w:highlight w:val="none"/>
              </w:rPr>
              <w:t>D.</w:t>
            </w:r>
            <w:r>
              <w:rPr>
                <w:rFonts w:hint="eastAsia"/>
                <w:highlight w:val="none"/>
                <w:lang w:val="en-US" w:eastAsia="zh-CN"/>
              </w:rPr>
              <w:t>1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12</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b/>
                <w:bCs/>
                <w:highlight w:val="none"/>
              </w:rPr>
            </w:pPr>
            <w:bookmarkStart w:id="23" w:name="_Toc29802957"/>
            <w:bookmarkStart w:id="24" w:name="_Toc29801908"/>
            <w:bookmarkStart w:id="25" w:name="_Toc75467405"/>
            <w:bookmarkStart w:id="26" w:name="_Toc21344421"/>
            <w:bookmarkStart w:id="27" w:name="_Toc61367650"/>
            <w:bookmarkStart w:id="28" w:name="_Toc37251473"/>
            <w:bookmarkStart w:id="29" w:name="_Toc61373033"/>
            <w:bookmarkStart w:id="30" w:name="_Toc84405264"/>
            <w:bookmarkStart w:id="31" w:name="_Toc29802332"/>
            <w:bookmarkStart w:id="32" w:name="_Toc76718417"/>
            <w:bookmarkStart w:id="33" w:name="_Toc45888952"/>
            <w:bookmarkStart w:id="34" w:name="_Toc45888353"/>
            <w:bookmarkStart w:id="35" w:name="_Toc84413873"/>
            <w:bookmarkStart w:id="36" w:name="_Toc83580755"/>
            <w:bookmarkStart w:id="37" w:name="_Toc76509427"/>
            <w:bookmarkStart w:id="38" w:name="_Toc68230982"/>
            <w:bookmarkStart w:id="39" w:name="_Toc69084395"/>
            <w:bookmarkStart w:id="40" w:name="_Toc36107699"/>
            <w:r>
              <w:rPr>
                <w:rFonts w:hint="default"/>
                <w:b/>
                <w:bCs/>
                <w:highlight w:val="none"/>
              </w:rPr>
              <w:t>Out of band emission for UL MIMO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keepNext w:val="0"/>
              <w:keepLines w:val="0"/>
              <w:widowControl/>
              <w:suppressLineNumbers w:val="0"/>
              <w:overflowPunct/>
              <w:autoSpaceDE/>
              <w:autoSpaceDN/>
              <w:adjustRightInd/>
              <w:spacing w:before="0" w:beforeAutospacing="0" w:afterAutospacing="0"/>
              <w:ind w:left="0" w:right="0"/>
              <w:jc w:val="left"/>
              <w:textAlignment w:val="auto"/>
              <w:rPr>
                <w:rFonts w:hint="default"/>
                <w:highlight w:val="none"/>
                <w:lang w:eastAsia="en-US"/>
              </w:rPr>
            </w:pPr>
            <w:r>
              <w:rPr>
                <w:rFonts w:hint="default"/>
                <w:highlight w:val="none"/>
                <w:lang w:eastAsia="en-US"/>
              </w:rPr>
              <w:t>For</w:t>
            </w:r>
            <w:r>
              <w:rPr>
                <w:rFonts w:hint="eastAsia"/>
                <w:highlight w:val="none"/>
                <w:lang w:val="en-US" w:eastAsia="zh-CN"/>
              </w:rPr>
              <w:t xml:space="preserve"> ATG</w:t>
            </w:r>
            <w:r>
              <w:rPr>
                <w:rFonts w:hint="default"/>
                <w:highlight w:val="none"/>
                <w:lang w:eastAsia="en-US"/>
              </w:rPr>
              <w:t xml:space="preserve"> UE supporting UL MIMO for UL MIMO, the requirements for Out of band emissions resulting from the modulation process and non-linearity in the transmitters is defined as the sum of the emissions </w:t>
            </w:r>
            <w:r>
              <w:rPr>
                <w:rFonts w:hint="default"/>
                <w:highlight w:val="none"/>
              </w:rPr>
              <w:t>from all</w:t>
            </w:r>
            <w:r>
              <w:rPr>
                <w:rFonts w:hint="default"/>
                <w:highlight w:val="none"/>
                <w:lang w:eastAsia="en-US"/>
              </w:rPr>
              <w:t xml:space="preserve"> UE transmit antenna connectors.</w:t>
            </w:r>
          </w:p>
          <w:p>
            <w:pPr>
              <w:keepNext w:val="0"/>
              <w:keepLines w:val="0"/>
              <w:widowControl/>
              <w:suppressLineNumbers w:val="0"/>
              <w:spacing w:before="0" w:beforeAutospacing="0" w:afterAutospacing="0"/>
              <w:ind w:left="0" w:right="0"/>
              <w:jc w:val="left"/>
              <w:rPr>
                <w:rFonts w:hint="default"/>
                <w:highlight w:val="none"/>
                <w:lang w:eastAsia="en-US"/>
              </w:rPr>
            </w:pPr>
            <w:r>
              <w:rPr>
                <w:rFonts w:hint="default"/>
                <w:highlight w:val="none"/>
                <w:lang w:eastAsia="en-US"/>
              </w:rPr>
              <w:t xml:space="preserve">For </w:t>
            </w:r>
            <w:r>
              <w:rPr>
                <w:rFonts w:hint="eastAsia"/>
                <w:highlight w:val="none"/>
                <w:lang w:val="en-US" w:eastAsia="zh-CN"/>
              </w:rPr>
              <w:t xml:space="preserve">ATG </w:t>
            </w:r>
            <w:r>
              <w:rPr>
                <w:rFonts w:hint="default"/>
                <w:highlight w:val="none"/>
                <w:lang w:eastAsia="en-US"/>
              </w:rPr>
              <w:t xml:space="preserve">UEs with </w:t>
            </w:r>
            <w:r>
              <w:rPr>
                <w:rFonts w:hint="default"/>
                <w:highlight w:val="none"/>
              </w:rPr>
              <w:t xml:space="preserve">two </w:t>
            </w:r>
            <w:r>
              <w:rPr>
                <w:rFonts w:hint="default"/>
                <w:highlight w:val="none"/>
                <w:lang w:eastAsia="en-US"/>
              </w:rPr>
              <w:t xml:space="preserve">transmit antenna connectors in closed-loop spatial multiplexing scheme, the requirements in subclause </w:t>
            </w:r>
            <w:r>
              <w:rPr>
                <w:rFonts w:hint="default"/>
                <w:highlight w:val="none"/>
              </w:rPr>
              <w:t>6.5J.2</w:t>
            </w:r>
            <w:r>
              <w:rPr>
                <w:rFonts w:hint="default"/>
                <w:highlight w:val="none"/>
                <w:lang w:eastAsia="en-US"/>
              </w:rPr>
              <w:t xml:space="preserve"> apply. The requirements shall be met with UL MIMO configurations described in clause 6.2D.1.</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13</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b/>
                <w:bCs/>
                <w:highlight w:val="none"/>
              </w:rPr>
            </w:pPr>
            <w:bookmarkStart w:id="41" w:name="_Toc68230983"/>
            <w:bookmarkStart w:id="42" w:name="_Toc29802958"/>
            <w:bookmarkStart w:id="43" w:name="_Toc84413874"/>
            <w:bookmarkStart w:id="44" w:name="_Toc37251474"/>
            <w:bookmarkStart w:id="45" w:name="_Toc61373034"/>
            <w:bookmarkStart w:id="46" w:name="_Toc61367651"/>
            <w:bookmarkStart w:id="47" w:name="_Toc21344422"/>
            <w:bookmarkStart w:id="48" w:name="_Toc36107700"/>
            <w:bookmarkStart w:id="49" w:name="_Toc83580756"/>
            <w:bookmarkStart w:id="50" w:name="_Toc45888354"/>
            <w:bookmarkStart w:id="51" w:name="_Toc45888953"/>
            <w:bookmarkStart w:id="52" w:name="_Toc75467406"/>
            <w:bookmarkStart w:id="53" w:name="_Toc84405265"/>
            <w:bookmarkStart w:id="54" w:name="_Toc76718418"/>
            <w:bookmarkStart w:id="55" w:name="_Toc29802333"/>
            <w:bookmarkStart w:id="56" w:name="_Toc29801909"/>
            <w:bookmarkStart w:id="57" w:name="_Toc76509428"/>
            <w:bookmarkStart w:id="58" w:name="_Toc69084396"/>
            <w:r>
              <w:rPr>
                <w:rFonts w:hint="default"/>
                <w:b/>
                <w:bCs/>
                <w:highlight w:val="none"/>
              </w:rPr>
              <w:t>Spurious emission for 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6.5D.3</w:t>
            </w:r>
            <w:r>
              <w:rPr>
                <w:rFonts w:hint="eastAsia"/>
                <w:highlight w:val="none"/>
                <w:lang w:val="en-US" w:eastAsia="zh-CN"/>
              </w:rPr>
              <w:t xml:space="preserve">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14</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Transmit intermodulation for UL MIMO</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w:t>
            </w:r>
            <w:r>
              <w:rPr>
                <w:rFonts w:hint="eastAsia"/>
                <w:highlight w:val="none"/>
                <w:lang w:val="en-US" w:eastAsia="zh-CN"/>
              </w:rPr>
              <w:t>4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15</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lang w:eastAsia="en-US"/>
              </w:rPr>
              <w:t>7.3D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lang w:eastAsia="en-US"/>
              </w:rPr>
              <w:t>Reference sensitivity for UL MIMO</w:t>
            </w:r>
          </w:p>
        </w:tc>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default"/>
                <w:b/>
                <w:bCs/>
                <w:highlight w:val="none"/>
                <w:lang w:eastAsia="en-US"/>
              </w:rPr>
              <w:t>Reference sensitivity for UL MIMO</w:t>
            </w:r>
          </w:p>
          <w:p>
            <w:pPr>
              <w:keepNext w:val="0"/>
              <w:keepLines w:val="0"/>
              <w:suppressLineNumbers w:val="0"/>
              <w:spacing w:before="0" w:beforeAutospacing="0" w:afterAutospacing="0"/>
              <w:ind w:left="0" w:right="0"/>
              <w:rPr>
                <w:rFonts w:hint="default"/>
                <w:highlight w:val="none"/>
                <w:lang w:eastAsia="zh-CN"/>
              </w:rPr>
            </w:pPr>
            <w:r>
              <w:rPr>
                <w:rFonts w:hint="default"/>
                <w:highlight w:val="none"/>
                <w:lang w:eastAsia="zh-CN"/>
              </w:rPr>
              <w:t>For UE with two transmitter antenna connectors in closed-loop spatial multiplexing scheme, the minimum requirements specified in clause 7.3</w:t>
            </w:r>
            <w:r>
              <w:rPr>
                <w:rFonts w:hint="eastAsia"/>
                <w:highlight w:val="none"/>
                <w:lang w:val="en-US" w:eastAsia="zh-CN"/>
              </w:rPr>
              <w:t>J</w:t>
            </w:r>
            <w:r>
              <w:rPr>
                <w:rFonts w:hint="default"/>
                <w:highlight w:val="none"/>
                <w:lang w:eastAsia="zh-CN"/>
              </w:rPr>
              <w:t xml:space="preserve"> shall be met with the UL MIMO configurations described in clause 6.2D.1 and the reference measurement channels as specified in Annexes A.2.2 and A.2.3 for CP-OFDM waveforms shall apply. For UL MIMO, the parameter P</w:t>
            </w:r>
            <w:r>
              <w:rPr>
                <w:rFonts w:hint="default"/>
                <w:highlight w:val="none"/>
                <w:vertAlign w:val="subscript"/>
                <w:lang w:eastAsia="zh-CN"/>
              </w:rPr>
              <w:t>UMAX</w:t>
            </w:r>
            <w:r>
              <w:rPr>
                <w:rFonts w:hint="default"/>
                <w:highlight w:val="none"/>
                <w:lang w:eastAsia="zh-CN"/>
              </w:rPr>
              <w:t xml:space="preserve"> is the total transmitter power over the two transmits power over the two transmit antenna connectors.</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16</w:t>
            </w:r>
            <w:r>
              <w:rPr>
                <w:rFonts w:hint="eastAsia"/>
                <w:highlight w:val="none"/>
                <w:lang w:val="en-US" w:eastAsia="zh-CN"/>
              </w:rPr>
              <w:t>: for REFSENS requirements, reuse the same REFSENS requirement as specified 7.3J.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7.4D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rPr>
              <w:t>Maximum input level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en-US"/>
              </w:rPr>
            </w:pPr>
            <w:r>
              <w:rPr>
                <w:rFonts w:hint="default"/>
                <w:b/>
                <w:bCs/>
                <w:highlight w:val="none"/>
                <w:lang w:eastAsia="en-US"/>
              </w:rPr>
              <w:t>Maximum input level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 transmitter antenna connectors in closed-loop spatial multiplexing, the minimum requirements specified in clause 7.4</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 xml:space="preserve">CMAX_L </w:t>
            </w:r>
            <w:r>
              <w:rPr>
                <w:rFonts w:hint="default"/>
                <w:highlight w:val="none"/>
              </w:rPr>
              <w:t>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17</w:t>
            </w:r>
            <w:r>
              <w:rPr>
                <w:rFonts w:hint="eastAsia"/>
                <w:highlight w:val="none"/>
                <w:lang w:val="en-US" w:eastAsia="zh-CN"/>
              </w:rPr>
              <w:t>: for maximum input power, reuse the same maximum input power requirement as specified 7.4J.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Adjacent channel selectivity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Adjacent channel selectivity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specified in clause 7.5</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18</w:t>
            </w:r>
            <w:r>
              <w:rPr>
                <w:rFonts w:hint="eastAsia"/>
                <w:highlight w:val="none"/>
                <w:lang w:val="en-US" w:eastAsia="zh-CN"/>
              </w:rPr>
              <w:t>: for ACS requirement, reuse the same ACS requirement as specified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eastAsia" w:eastAsia="宋体"/>
                <w:highlight w:val="none"/>
                <w:lang w:eastAsia="zh-CN"/>
              </w:rPr>
            </w:pPr>
            <w:r>
              <w:rPr>
                <w:rFonts w:hint="default"/>
                <w:highlight w:val="none"/>
              </w:rPr>
              <w:t>7.6D</w:t>
            </w:r>
            <w:r>
              <w:rPr>
                <w:rFonts w:hint="default" w:asciiTheme="minorHAnsi" w:hAnsiTheme="minorHAnsi" w:eastAsiaTheme="minorEastAsia" w:cstheme="minorBidi"/>
                <w:sz w:val="22"/>
                <w:szCs w:val="22"/>
                <w:highlight w:val="none"/>
              </w:rPr>
              <w:tab/>
            </w:r>
            <w:r>
              <w:rPr>
                <w:rFonts w:hint="default"/>
                <w:highlight w:val="none"/>
              </w:rPr>
              <w:t>Blocking characteristics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Blocking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7.6</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19</w:t>
            </w:r>
            <w:r>
              <w:rPr>
                <w:rFonts w:hint="eastAsia"/>
                <w:highlight w:val="none"/>
                <w:lang w:val="en-US" w:eastAsia="zh-CN"/>
              </w:rPr>
              <w:t>: for blocking requirement, reuse the same blocking requirement as specified 7.6J.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7.7D</w:t>
            </w:r>
            <w:r>
              <w:rPr>
                <w:rFonts w:hint="default" w:asciiTheme="minorHAnsi" w:hAnsiTheme="minorHAnsi" w:eastAsiaTheme="minorEastAsia" w:cstheme="minorBidi"/>
                <w:sz w:val="22"/>
                <w:szCs w:val="22"/>
                <w:highlight w:val="none"/>
              </w:rPr>
              <w:tab/>
            </w:r>
            <w:r>
              <w:rPr>
                <w:rFonts w:hint="default"/>
                <w:highlight w:val="none"/>
              </w:rPr>
              <w:t>Spurious response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Spurious response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7.7</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20</w:t>
            </w:r>
            <w:r>
              <w:rPr>
                <w:rFonts w:hint="eastAsia"/>
                <w:highlight w:val="none"/>
                <w:lang w:val="en-US" w:eastAsia="zh-CN"/>
              </w:rPr>
              <w:t>:for receiver spurious response requirement,  reuse the same spurious response requirement as specified 7.7J.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7.8D</w:t>
            </w:r>
            <w:r>
              <w:rPr>
                <w:rFonts w:hint="default" w:asciiTheme="minorHAnsi" w:hAnsiTheme="minorHAnsi" w:eastAsiaTheme="minorEastAsia" w:cstheme="minorBidi"/>
                <w:sz w:val="22"/>
                <w:szCs w:val="22"/>
                <w:highlight w:val="none"/>
              </w:rPr>
              <w:tab/>
            </w:r>
            <w:r>
              <w:rPr>
                <w:rFonts w:hint="default"/>
                <w:highlight w:val="none"/>
              </w:rPr>
              <w:t>Intermodulation characteristics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Intermodulation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in clause 7.8</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21</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tc>
      </w:tr>
    </w:tbl>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2.2. RF requirements for Intra-band CA </w:t>
      </w:r>
    </w:p>
    <w:p>
      <w:pPr>
        <w:tabs>
          <w:tab w:val="left" w:pos="2127"/>
        </w:tabs>
        <w:spacing w:after="0"/>
        <w:rPr>
          <w:rFonts w:hint="eastAsia"/>
          <w:lang w:val="en-US" w:eastAsia="zh-CN"/>
        </w:rPr>
      </w:pPr>
      <w:r>
        <w:rPr>
          <w:rFonts w:hint="eastAsia"/>
          <w:lang w:val="en-US" w:eastAsia="zh-CN"/>
        </w:rPr>
        <w:t xml:space="preserve">In this section, we provide some initial analysis on the overall requirement for ATG UE supporting intra-band DL CA and also provided the summary of proposals for it. </w:t>
      </w:r>
    </w:p>
    <w:p>
      <w:pPr>
        <w:tabs>
          <w:tab w:val="left" w:pos="2127"/>
        </w:tabs>
        <w:spacing w:after="0"/>
        <w:jc w:val="center"/>
        <w:rPr>
          <w:rFonts w:hint="default"/>
          <w:lang w:val="en-US" w:eastAsia="zh-CN"/>
        </w:rPr>
      </w:pPr>
      <w:r>
        <w:rPr>
          <w:rFonts w:hint="eastAsia"/>
          <w:lang w:val="en-US" w:eastAsia="zh-CN"/>
        </w:rPr>
        <w:t>Table 2. Analysis and summary of proposals for ATG UE supporting intra-band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The existing RF requirement for intra-band contiguous CA</w:t>
            </w:r>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ATG UE supporting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vertAlign w:val="baseline"/>
                <w:lang w:val="en-US" w:eastAsia="zh-CN"/>
              </w:rPr>
            </w:pPr>
            <w:bookmarkStart w:id="59" w:name="_Toc61367344"/>
            <w:bookmarkStart w:id="60" w:name="_Toc36107534"/>
            <w:bookmarkStart w:id="61" w:name="_Toc69084081"/>
            <w:bookmarkStart w:id="62" w:name="_Toc45888103"/>
            <w:bookmarkStart w:id="63" w:name="_Toc21344257"/>
            <w:bookmarkStart w:id="64" w:name="_Toc84404921"/>
            <w:bookmarkStart w:id="65" w:name="_Toc68230668"/>
            <w:bookmarkStart w:id="66" w:name="_Toc61372727"/>
            <w:bookmarkStart w:id="67" w:name="_Toc29802792"/>
            <w:bookmarkStart w:id="68" w:name="_Toc76509112"/>
            <w:bookmarkStart w:id="69" w:name="_Toc29801743"/>
            <w:bookmarkStart w:id="70" w:name="_Toc45888702"/>
            <w:bookmarkStart w:id="71" w:name="_Toc84413530"/>
            <w:bookmarkStart w:id="72" w:name="_Toc75467090"/>
            <w:bookmarkStart w:id="73" w:name="_Toc76718102"/>
            <w:bookmarkStart w:id="74" w:name="_Toc83580412"/>
            <w:bookmarkStart w:id="75" w:name="_Toc37251300"/>
            <w:bookmarkStart w:id="76" w:name="_Toc29802167"/>
            <w:r>
              <w:rPr>
                <w:rFonts w:hint="eastAsia" w:ascii="Times New Roman" w:hAnsi="Times New Roman" w:eastAsia="宋体" w:cs="Times New Roman"/>
                <w:b w:val="0"/>
                <w:bCs w:val="0"/>
                <w:kern w:val="2"/>
                <w:sz w:val="21"/>
                <w:szCs w:val="22"/>
                <w:vertAlign w:val="baseline"/>
                <w:lang w:val="en-US" w:eastAsia="zh-CN" w:bidi="ar-SA"/>
              </w:rPr>
              <w:t>6.2A.1.1</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for Intra-band 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bookmarkStart w:id="77" w:name="_Toc21344261"/>
            <w:bookmarkStart w:id="78" w:name="_Toc29801747"/>
            <w:bookmarkStart w:id="79" w:name="_Toc45888109"/>
            <w:bookmarkStart w:id="80" w:name="_Toc29802171"/>
            <w:bookmarkStart w:id="81" w:name="_Toc37251304"/>
            <w:bookmarkStart w:id="82" w:name="_Toc36107538"/>
            <w:bookmarkStart w:id="83" w:name="_Toc45888708"/>
            <w:bookmarkStart w:id="84" w:name="_Toc29802796"/>
            <w:bookmarkStart w:id="85" w:name="_Toc75467096"/>
            <w:bookmarkStart w:id="86" w:name="_Toc76509118"/>
            <w:bookmarkStart w:id="87" w:name="_Toc83580418"/>
            <w:bookmarkStart w:id="88" w:name="_Toc84413536"/>
            <w:bookmarkStart w:id="89" w:name="_Toc68230674"/>
            <w:bookmarkStart w:id="90" w:name="_Toc69084087"/>
            <w:bookmarkStart w:id="91" w:name="_Toc61372733"/>
            <w:bookmarkStart w:id="92" w:name="_Toc76718108"/>
            <w:bookmarkStart w:id="93" w:name="_Toc84404927"/>
            <w:bookmarkStart w:id="94" w:name="_Toc61367350"/>
            <w:r>
              <w:rPr>
                <w:rFonts w:hint="default"/>
              </w:rPr>
              <w:t>6.2A.2.1</w:t>
            </w:r>
            <w:r>
              <w:rPr>
                <w:rFonts w:hint="default"/>
              </w:rPr>
              <w:tab/>
            </w:r>
            <w:bookmarkEnd w:id="77"/>
            <w:bookmarkEnd w:id="78"/>
            <w:bookmarkEnd w:id="79"/>
            <w:bookmarkEnd w:id="80"/>
            <w:bookmarkEnd w:id="81"/>
            <w:bookmarkEnd w:id="82"/>
            <w:bookmarkEnd w:id="83"/>
            <w:bookmarkEnd w:id="84"/>
            <w:r>
              <w:rPr>
                <w:rFonts w:hint="default"/>
              </w:rPr>
              <w:t>UE maximum output power reduction for Intra-band contiguous CA</w:t>
            </w:r>
            <w:bookmarkEnd w:id="85"/>
            <w:bookmarkEnd w:id="86"/>
            <w:bookmarkEnd w:id="87"/>
            <w:bookmarkEnd w:id="88"/>
            <w:bookmarkEnd w:id="89"/>
            <w:bookmarkEnd w:id="90"/>
            <w:bookmarkEnd w:id="91"/>
            <w:bookmarkEnd w:id="92"/>
            <w:bookmarkEnd w:id="93"/>
            <w:bookmarkEnd w:id="94"/>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bookmarkStart w:id="95" w:name="_Toc29801751"/>
            <w:bookmarkStart w:id="96" w:name="_Toc29802175"/>
            <w:bookmarkStart w:id="97" w:name="_Toc36107542"/>
            <w:bookmarkStart w:id="98" w:name="_Toc45888114"/>
            <w:bookmarkStart w:id="99" w:name="_Toc45888713"/>
            <w:bookmarkStart w:id="100" w:name="_Toc37251308"/>
            <w:bookmarkStart w:id="101" w:name="_Toc29802800"/>
            <w:bookmarkStart w:id="102" w:name="_Toc21344265"/>
            <w:bookmarkStart w:id="103" w:name="_Toc83580425"/>
            <w:bookmarkStart w:id="104" w:name="_Toc61372740"/>
            <w:bookmarkStart w:id="105" w:name="_Toc69084094"/>
            <w:bookmarkStart w:id="106" w:name="_Toc84413543"/>
            <w:bookmarkStart w:id="107" w:name="_Toc76509125"/>
            <w:bookmarkStart w:id="108" w:name="_Toc84404934"/>
            <w:bookmarkStart w:id="109" w:name="_Toc68230681"/>
            <w:bookmarkStart w:id="110" w:name="_Toc61367357"/>
            <w:bookmarkStart w:id="111" w:name="_Toc76718115"/>
            <w:bookmarkStart w:id="112" w:name="_Toc75467103"/>
            <w:r>
              <w:rPr>
                <w:rFonts w:hint="default"/>
              </w:rPr>
              <w:t>6.2A.3.1.1</w:t>
            </w:r>
            <w:r>
              <w:rPr>
                <w:rFonts w:hint="default"/>
              </w:rPr>
              <w:tab/>
            </w:r>
            <w:bookmarkEnd w:id="95"/>
            <w:bookmarkEnd w:id="96"/>
            <w:bookmarkEnd w:id="97"/>
            <w:bookmarkEnd w:id="98"/>
            <w:bookmarkEnd w:id="99"/>
            <w:bookmarkEnd w:id="100"/>
            <w:bookmarkEnd w:id="101"/>
            <w:bookmarkEnd w:id="102"/>
            <w:r>
              <w:rPr>
                <w:rFonts w:hint="default"/>
              </w:rPr>
              <w:t>UE additional maximum output power reduction for Intra-band contiguous CA</w:t>
            </w:r>
            <w:bookmarkEnd w:id="103"/>
            <w:bookmarkEnd w:id="104"/>
            <w:bookmarkEnd w:id="105"/>
            <w:bookmarkEnd w:id="106"/>
            <w:bookmarkEnd w:id="107"/>
            <w:bookmarkEnd w:id="108"/>
            <w:bookmarkEnd w:id="109"/>
            <w:bookmarkEnd w:id="110"/>
            <w:bookmarkEnd w:id="111"/>
            <w:bookmarkEnd w:id="112"/>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bookmarkStart w:id="113" w:name="_Toc21344270"/>
            <w:bookmarkStart w:id="114" w:name="_Toc68230687"/>
            <w:bookmarkStart w:id="115" w:name="_Toc29802180"/>
            <w:bookmarkStart w:id="116" w:name="_Toc84404940"/>
            <w:bookmarkStart w:id="117" w:name="_Toc29802805"/>
            <w:bookmarkStart w:id="118" w:name="_Toc45888119"/>
            <w:bookmarkStart w:id="119" w:name="_Toc84413549"/>
            <w:bookmarkStart w:id="120" w:name="_Toc75467109"/>
            <w:bookmarkStart w:id="121" w:name="_Toc45888718"/>
            <w:bookmarkStart w:id="122" w:name="_Toc36107547"/>
            <w:bookmarkStart w:id="123" w:name="_Toc76718121"/>
            <w:bookmarkStart w:id="124" w:name="_Toc69084100"/>
            <w:bookmarkStart w:id="125" w:name="_Toc83580431"/>
            <w:bookmarkStart w:id="126" w:name="_Toc61372746"/>
            <w:bookmarkStart w:id="127" w:name="_Toc76509131"/>
            <w:bookmarkStart w:id="128" w:name="_Toc61367363"/>
            <w:bookmarkStart w:id="129" w:name="_Toc37251313"/>
            <w:bookmarkStart w:id="130" w:name="_Toc29801756"/>
            <w:r>
              <w:rPr>
                <w:rFonts w:hint="default"/>
              </w:rPr>
              <w:t>6.2A.4.1.1</w:t>
            </w:r>
            <w:r>
              <w:rPr>
                <w:rFonts w:hint="default"/>
              </w:rPr>
              <w:tab/>
            </w:r>
            <w:r>
              <w:rPr>
                <w:rFonts w:hint="default"/>
              </w:rPr>
              <w:t>Configured transmitted power for Intra-band contiguous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r>
              <w:rPr>
                <w:rFonts w:hint="default"/>
              </w:rPr>
              <w:t>6.3A.1.1</w:t>
            </w:r>
            <w:r>
              <w:rPr>
                <w:rFonts w:hint="default"/>
              </w:rPr>
              <w:tab/>
            </w:r>
            <w:r>
              <w:rPr>
                <w:rFonts w:hint="default"/>
              </w:rPr>
              <w:t>Minimum output power for intra-band contiguous CA</w:t>
            </w: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bookmarkStart w:id="131" w:name="_Toc29802221"/>
            <w:bookmarkStart w:id="132" w:name="_Toc83580526"/>
            <w:bookmarkStart w:id="133" w:name="_Toc84405035"/>
            <w:bookmarkStart w:id="134" w:name="_Toc61372829"/>
            <w:bookmarkStart w:id="135" w:name="_Toc45888185"/>
            <w:bookmarkStart w:id="136" w:name="_Toc36107588"/>
            <w:bookmarkStart w:id="137" w:name="_Toc29802220"/>
            <w:bookmarkStart w:id="138" w:name="_Toc29802846"/>
            <w:bookmarkStart w:id="139" w:name="_Toc37251354"/>
            <w:bookmarkStart w:id="140" w:name="_Toc29801797"/>
            <w:bookmarkStart w:id="141" w:name="_Toc69084183"/>
            <w:bookmarkStart w:id="142" w:name="_Toc29802845"/>
            <w:bookmarkStart w:id="143" w:name="_Toc75467193"/>
            <w:bookmarkStart w:id="144" w:name="_Toc76509215"/>
            <w:bookmarkStart w:id="145" w:name="_Toc61367446"/>
            <w:bookmarkStart w:id="146" w:name="_Toc84413644"/>
            <w:bookmarkStart w:id="147" w:name="_Toc45888784"/>
            <w:bookmarkStart w:id="148" w:name="_Toc68230770"/>
            <w:bookmarkStart w:id="149" w:name="_Toc36107587"/>
            <w:bookmarkStart w:id="150" w:name="_Toc45888785"/>
            <w:bookmarkStart w:id="151" w:name="_Toc37251353"/>
            <w:bookmarkStart w:id="152" w:name="_Toc21344311"/>
            <w:bookmarkStart w:id="153" w:name="_Toc21344310"/>
            <w:bookmarkStart w:id="154" w:name="_Toc45888186"/>
            <w:bookmarkStart w:id="155" w:name="_Toc76718205"/>
            <w:bookmarkStart w:id="156" w:name="_Toc29801796"/>
            <w:r>
              <w:rPr>
                <w:rFonts w:hint="default"/>
              </w:rPr>
              <w:t>6.3A.2.1</w:t>
            </w:r>
            <w:r>
              <w:rPr>
                <w:rFonts w:hint="default"/>
              </w:rPr>
              <w:tab/>
            </w:r>
            <w:r>
              <w:rPr>
                <w:rFonts w:hint="default"/>
              </w:rPr>
              <w:t>Transmit OFF power for intra-band contiguous CA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lang w:val="en-US" w:eastAsia="zh-CN"/>
              </w:rPr>
            </w:pPr>
            <w:bookmarkStart w:id="157" w:name="_Toc84405040"/>
            <w:bookmarkStart w:id="158" w:name="_Toc76509220"/>
            <w:bookmarkStart w:id="159" w:name="_Toc37251358"/>
            <w:bookmarkStart w:id="160" w:name="_Toc29802849"/>
            <w:bookmarkStart w:id="161" w:name="_Toc29801801"/>
            <w:bookmarkStart w:id="162" w:name="_Toc29801800"/>
            <w:bookmarkStart w:id="163" w:name="_Toc36107591"/>
            <w:bookmarkStart w:id="164" w:name="_Toc29802224"/>
            <w:bookmarkStart w:id="165" w:name="_Toc29802225"/>
            <w:bookmarkStart w:id="166" w:name="_Toc36107592"/>
            <w:bookmarkStart w:id="167" w:name="_Toc68230775"/>
            <w:bookmarkStart w:id="168" w:name="_Toc61367451"/>
            <w:bookmarkStart w:id="169" w:name="_Toc21344315"/>
            <w:bookmarkStart w:id="170" w:name="_Toc45888789"/>
            <w:bookmarkStart w:id="171" w:name="_Toc75467198"/>
            <w:bookmarkStart w:id="172" w:name="_Toc45888790"/>
            <w:bookmarkStart w:id="173" w:name="_Toc61372834"/>
            <w:bookmarkStart w:id="174" w:name="_Toc83580531"/>
            <w:bookmarkStart w:id="175" w:name="_Toc21344314"/>
            <w:bookmarkStart w:id="176" w:name="_Toc69084188"/>
            <w:bookmarkStart w:id="177" w:name="_Toc37251357"/>
            <w:bookmarkStart w:id="178" w:name="_Toc45888191"/>
            <w:bookmarkStart w:id="179" w:name="_Toc84413649"/>
            <w:bookmarkStart w:id="180" w:name="_Toc76718210"/>
            <w:bookmarkStart w:id="181" w:name="_Toc45888190"/>
            <w:bookmarkStart w:id="182" w:name="_Toc29802850"/>
            <w:r>
              <w:rPr>
                <w:rFonts w:hint="default"/>
              </w:rPr>
              <w:t>6.3A.3.1</w:t>
            </w:r>
            <w:r>
              <w:rPr>
                <w:rFonts w:hint="default"/>
              </w:rPr>
              <w:tab/>
            </w:r>
            <w:r>
              <w:rPr>
                <w:rFonts w:hint="default"/>
              </w:rPr>
              <w:t>Transmit ON/OFF time mask for intra-band contiguous CA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981" w:type="dxa"/>
          </w:tcPr>
          <w:p>
            <w:pPr>
              <w:keepNext w:val="0"/>
              <w:keepLines w:val="0"/>
              <w:widowControl/>
              <w:suppressLineNumbers w:val="0"/>
              <w:spacing w:before="0" w:beforeAutospacing="0" w:afterAutospacing="0"/>
              <w:ind w:left="0" w:right="0"/>
              <w:jc w:val="left"/>
              <w:rPr>
                <w:rFonts w:hint="eastAsia"/>
                <w:lang w:eastAsia="zh-CN"/>
              </w:rPr>
            </w:pPr>
            <w:bookmarkStart w:id="183" w:name="_Toc83580541"/>
            <w:bookmarkStart w:id="184" w:name="_Toc75467208"/>
            <w:bookmarkStart w:id="185" w:name="_Toc36107595"/>
            <w:bookmarkStart w:id="186" w:name="_Toc84413659"/>
            <w:bookmarkStart w:id="187" w:name="_Toc37251361"/>
            <w:bookmarkStart w:id="188" w:name="_Toc68230785"/>
            <w:bookmarkStart w:id="189" w:name="_Toc21344318"/>
            <w:bookmarkStart w:id="190" w:name="_Toc29802853"/>
            <w:bookmarkStart w:id="191" w:name="_Toc84405050"/>
            <w:bookmarkStart w:id="192" w:name="_Toc69084198"/>
            <w:bookmarkStart w:id="193" w:name="_Toc29801804"/>
            <w:bookmarkStart w:id="194" w:name="_Toc29802228"/>
            <w:bookmarkStart w:id="195" w:name="_Toc76509230"/>
            <w:bookmarkStart w:id="196" w:name="_Toc45888796"/>
            <w:bookmarkStart w:id="197" w:name="_Toc76718220"/>
            <w:bookmarkStart w:id="198" w:name="_Toc61367458"/>
            <w:bookmarkStart w:id="199" w:name="_Toc45888197"/>
            <w:bookmarkStart w:id="200" w:name="_Toc61372841"/>
            <w:r>
              <w:rPr>
                <w:rFonts w:hint="default"/>
              </w:rPr>
              <w:t>6.3A.4.1</w:t>
            </w:r>
            <w:r>
              <w:rPr>
                <w:rFonts w:hint="default"/>
              </w:rPr>
              <w:tab/>
            </w:r>
            <w:r>
              <w:rPr>
                <w:rFonts w:hint="default"/>
              </w:rPr>
              <w:t>Power control for intra-band contiguous CA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01" w:name="_Toc69084264"/>
            <w:bookmarkStart w:id="202" w:name="_Toc37251379"/>
            <w:bookmarkStart w:id="203" w:name="_Toc36107613"/>
            <w:bookmarkStart w:id="204" w:name="_Toc45888842"/>
            <w:bookmarkStart w:id="205" w:name="_Toc68230851"/>
            <w:bookmarkStart w:id="206" w:name="_Toc75467274"/>
            <w:bookmarkStart w:id="207" w:name="_Toc83580617"/>
            <w:bookmarkStart w:id="208" w:name="_Toc84413735"/>
            <w:bookmarkStart w:id="209" w:name="_Toc61367520"/>
            <w:bookmarkStart w:id="210" w:name="_Toc76509296"/>
            <w:bookmarkStart w:id="211" w:name="_Toc45888243"/>
            <w:bookmarkStart w:id="212" w:name="_Toc76718286"/>
            <w:bookmarkStart w:id="213" w:name="_Toc29802871"/>
            <w:bookmarkStart w:id="214" w:name="_Toc21344336"/>
            <w:bookmarkStart w:id="215" w:name="_Toc29802246"/>
            <w:bookmarkStart w:id="216" w:name="_Toc29801822"/>
            <w:bookmarkStart w:id="217" w:name="_Toc84405126"/>
            <w:bookmarkStart w:id="218" w:name="_Toc61372903"/>
            <w:r>
              <w:rPr>
                <w:rFonts w:hint="default"/>
              </w:rPr>
              <w:t>6.4A.1.1</w:t>
            </w:r>
            <w:r>
              <w:rPr>
                <w:rFonts w:hint="default"/>
              </w:rPr>
              <w:tab/>
            </w:r>
            <w:r>
              <w:rPr>
                <w:rFonts w:hint="default"/>
              </w:rPr>
              <w:t>Frequency error for intra-band contiguous CA</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19" w:name="_Toc45888847"/>
            <w:bookmarkStart w:id="220" w:name="_Toc36107617"/>
            <w:bookmarkStart w:id="221" w:name="_Toc83580622"/>
            <w:bookmarkStart w:id="222" w:name="_Toc75467279"/>
            <w:bookmarkStart w:id="223" w:name="_Toc29801826"/>
            <w:bookmarkStart w:id="224" w:name="_Toc29802250"/>
            <w:bookmarkStart w:id="225" w:name="_Toc84405131"/>
            <w:bookmarkStart w:id="226" w:name="_Toc68230856"/>
            <w:bookmarkStart w:id="227" w:name="_Toc61367525"/>
            <w:bookmarkStart w:id="228" w:name="_Toc76509301"/>
            <w:bookmarkStart w:id="229" w:name="_Toc69084269"/>
            <w:bookmarkStart w:id="230" w:name="_Toc21344340"/>
            <w:bookmarkStart w:id="231" w:name="_Toc61372908"/>
            <w:bookmarkStart w:id="232" w:name="_Toc37251383"/>
            <w:bookmarkStart w:id="233" w:name="_Toc45888248"/>
            <w:bookmarkStart w:id="234" w:name="_Toc76718291"/>
            <w:bookmarkStart w:id="235" w:name="_Toc84413740"/>
            <w:bookmarkStart w:id="236" w:name="_Toc29802875"/>
            <w:r>
              <w:rPr>
                <w:rFonts w:hint="default"/>
              </w:rPr>
              <w:t>6.4A.2.1</w:t>
            </w:r>
            <w:r>
              <w:rPr>
                <w:rFonts w:hint="default"/>
              </w:rPr>
              <w:tab/>
            </w:r>
            <w:r>
              <w:rPr>
                <w:rFonts w:hint="default"/>
              </w:rPr>
              <w:t>Transmit modulation quality for intra-band contiguous CA</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37" w:name="_Toc61367615"/>
            <w:bookmarkStart w:id="238" w:name="_Toc75467370"/>
            <w:bookmarkStart w:id="239" w:name="_Toc84413839"/>
            <w:bookmarkStart w:id="240" w:name="_Toc76509392"/>
            <w:bookmarkStart w:id="241" w:name="_Toc83580721"/>
            <w:bookmarkStart w:id="242" w:name="_Toc69084360"/>
            <w:bookmarkStart w:id="243" w:name="_Toc76718382"/>
            <w:bookmarkStart w:id="244" w:name="_Toc61372998"/>
            <w:bookmarkStart w:id="245" w:name="_Toc84405230"/>
            <w:bookmarkStart w:id="246" w:name="_Toc68230947"/>
            <w:r>
              <w:rPr>
                <w:rFonts w:hint="default"/>
              </w:rPr>
              <w:t>6.5A.1.1a</w:t>
            </w:r>
            <w:r>
              <w:rPr>
                <w:rFonts w:hint="default"/>
              </w:rPr>
              <w:tab/>
            </w:r>
            <w:r>
              <w:rPr>
                <w:rFonts w:hint="default"/>
              </w:rPr>
              <w:t>Occupied bandwidth for Intra-band contiguous CA</w:t>
            </w:r>
            <w:bookmarkEnd w:id="237"/>
            <w:bookmarkEnd w:id="238"/>
            <w:bookmarkEnd w:id="239"/>
            <w:bookmarkEnd w:id="240"/>
            <w:bookmarkEnd w:id="241"/>
            <w:bookmarkEnd w:id="242"/>
            <w:bookmarkEnd w:id="243"/>
            <w:bookmarkEnd w:id="244"/>
            <w:bookmarkEnd w:id="245"/>
            <w:bookmarkEnd w:id="246"/>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47" w:name="_Toc84413845"/>
            <w:bookmarkStart w:id="248" w:name="_Toc45888924"/>
            <w:bookmarkStart w:id="249" w:name="_Toc84405236"/>
            <w:bookmarkStart w:id="250" w:name="_Toc76509398"/>
            <w:bookmarkStart w:id="251" w:name="_Toc61373004"/>
            <w:bookmarkStart w:id="252" w:name="_Toc76718388"/>
            <w:bookmarkStart w:id="253" w:name="_Toc29802304"/>
            <w:bookmarkStart w:id="254" w:name="_Toc69084366"/>
            <w:bookmarkStart w:id="255" w:name="_Toc36107671"/>
            <w:bookmarkStart w:id="256" w:name="_Toc45888325"/>
            <w:bookmarkStart w:id="257" w:name="_Toc75467376"/>
            <w:bookmarkStart w:id="258" w:name="_Toc37251445"/>
            <w:bookmarkStart w:id="259" w:name="_Toc83580727"/>
            <w:bookmarkStart w:id="260" w:name="_Toc61367621"/>
            <w:bookmarkStart w:id="261" w:name="_Toc21344393"/>
            <w:bookmarkStart w:id="262" w:name="_Toc29801880"/>
            <w:bookmarkStart w:id="263" w:name="_Toc68230953"/>
            <w:bookmarkStart w:id="264" w:name="_Toc29802929"/>
            <w:r>
              <w:rPr>
                <w:rFonts w:hint="default"/>
              </w:rPr>
              <w:t>6.5A.2.2.1</w:t>
            </w:r>
            <w:r>
              <w:rPr>
                <w:rFonts w:hint="eastAsia"/>
                <w:lang w:val="en-US" w:eastAsia="zh-CN"/>
              </w:rPr>
              <w:t xml:space="preserve"> </w:t>
            </w:r>
            <w:r>
              <w:rPr>
                <w:rFonts w:hint="default"/>
              </w:rPr>
              <w:t>Spectrum emission mask for intra-band contiguous 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hint="eastAsia"/>
                <w:lang w:val="en-US" w:eastAsia="zh-CN"/>
              </w:rPr>
              <w:t>A</w:t>
            </w: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65" w:name="_Toc37251449"/>
            <w:bookmarkStart w:id="266" w:name="_Toc29802308"/>
            <w:bookmarkStart w:id="267" w:name="_Toc36107675"/>
            <w:bookmarkStart w:id="268" w:name="_Toc29801884"/>
            <w:bookmarkStart w:id="269" w:name="_Toc29802933"/>
            <w:bookmarkStart w:id="270" w:name="_Toc45888330"/>
            <w:bookmarkStart w:id="271" w:name="_Toc45888929"/>
            <w:bookmarkStart w:id="272" w:name="_Toc21344397"/>
            <w:bookmarkStart w:id="273" w:name="_Toc75467381"/>
            <w:bookmarkStart w:id="274" w:name="_Toc69084371"/>
            <w:bookmarkStart w:id="275" w:name="_Toc76718393"/>
            <w:bookmarkStart w:id="276" w:name="_Toc83580732"/>
            <w:bookmarkStart w:id="277" w:name="_Toc84413850"/>
            <w:bookmarkStart w:id="278" w:name="_Toc76509403"/>
            <w:bookmarkStart w:id="279" w:name="_Toc61373009"/>
            <w:bookmarkStart w:id="280" w:name="_Toc84405241"/>
            <w:bookmarkStart w:id="281" w:name="_Toc61367626"/>
            <w:bookmarkStart w:id="282" w:name="_Toc68230958"/>
            <w:r>
              <w:rPr>
                <w:rFonts w:hint="default"/>
              </w:rPr>
              <w:t>6.5A.2.3.1</w:t>
            </w:r>
            <w:bookmarkEnd w:id="265"/>
            <w:bookmarkEnd w:id="266"/>
            <w:bookmarkEnd w:id="267"/>
            <w:bookmarkEnd w:id="268"/>
            <w:bookmarkEnd w:id="269"/>
            <w:bookmarkEnd w:id="270"/>
            <w:bookmarkEnd w:id="271"/>
            <w:bookmarkEnd w:id="272"/>
            <w:r>
              <w:rPr>
                <w:rFonts w:hint="eastAsia"/>
                <w:lang w:val="en-US" w:eastAsia="zh-CN"/>
              </w:rPr>
              <w:t xml:space="preserve"> </w:t>
            </w:r>
            <w:r>
              <w:rPr>
                <w:rFonts w:hint="default"/>
              </w:rPr>
              <w:t>Additional spectrum emission mask for intra-band contiguous CA</w:t>
            </w:r>
            <w:bookmarkEnd w:id="273"/>
            <w:bookmarkEnd w:id="274"/>
            <w:bookmarkEnd w:id="275"/>
            <w:bookmarkEnd w:id="276"/>
            <w:bookmarkEnd w:id="277"/>
            <w:bookmarkEnd w:id="278"/>
            <w:bookmarkEnd w:id="279"/>
            <w:bookmarkEnd w:id="280"/>
            <w:bookmarkEnd w:id="281"/>
            <w:bookmarkEnd w:id="282"/>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283" w:name="_Toc45888939"/>
            <w:bookmarkStart w:id="284" w:name="_Toc68230968"/>
            <w:bookmarkStart w:id="285" w:name="_Toc84413859"/>
            <w:bookmarkStart w:id="286" w:name="_Toc29802323"/>
            <w:bookmarkStart w:id="287" w:name="_Toc76718403"/>
            <w:bookmarkStart w:id="288" w:name="_Toc37251464"/>
            <w:bookmarkStart w:id="289" w:name="_Toc75467391"/>
            <w:bookmarkStart w:id="290" w:name="_Toc29801899"/>
            <w:bookmarkStart w:id="291" w:name="_Toc61367636"/>
            <w:bookmarkStart w:id="292" w:name="_Toc29802948"/>
            <w:bookmarkStart w:id="293" w:name="_Toc36107690"/>
            <w:bookmarkStart w:id="294" w:name="_Toc21344412"/>
            <w:bookmarkStart w:id="295" w:name="_Toc76509413"/>
            <w:bookmarkStart w:id="296" w:name="_Toc83580741"/>
            <w:bookmarkStart w:id="297" w:name="_Toc45888340"/>
            <w:bookmarkStart w:id="298" w:name="_Toc69084381"/>
            <w:bookmarkStart w:id="299" w:name="_Toc61373019"/>
            <w:bookmarkStart w:id="300" w:name="_Toc84405250"/>
            <w:r>
              <w:rPr>
                <w:rFonts w:hint="default"/>
              </w:rPr>
              <w:t>6.5A.3.2.1</w:t>
            </w:r>
            <w:r>
              <w:rPr>
                <w:rFonts w:hint="eastAsia"/>
                <w:lang w:val="en-US" w:eastAsia="zh-CN"/>
              </w:rPr>
              <w:t xml:space="preserve"> </w:t>
            </w:r>
            <w:r>
              <w:rPr>
                <w:rFonts w:hint="default"/>
              </w:rPr>
              <w:t>Spurious emissions for UE co-existence for intra-band contiguous CA</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01" w:name="_Toc75467398"/>
            <w:bookmarkStart w:id="302" w:name="_Toc83580748"/>
            <w:bookmarkStart w:id="303" w:name="_Toc68230975"/>
            <w:bookmarkStart w:id="304" w:name="_Toc84405257"/>
            <w:bookmarkStart w:id="305" w:name="_Toc76718410"/>
            <w:bookmarkStart w:id="306" w:name="_Toc69084388"/>
            <w:bookmarkStart w:id="307" w:name="_Toc61373026"/>
            <w:bookmarkStart w:id="308" w:name="_Toc76509420"/>
            <w:bookmarkStart w:id="309" w:name="_Toc61367643"/>
            <w:bookmarkStart w:id="310" w:name="_Toc84413866"/>
            <w:r>
              <w:rPr>
                <w:rFonts w:hint="default"/>
              </w:rPr>
              <w:t>6.5A.3.3.1</w:t>
            </w:r>
            <w:r>
              <w:rPr>
                <w:rFonts w:hint="eastAsia"/>
                <w:lang w:val="en-US" w:eastAsia="zh-CN"/>
              </w:rPr>
              <w:t xml:space="preserve"> </w:t>
            </w:r>
            <w:r>
              <w:rPr>
                <w:rFonts w:hint="default"/>
              </w:rPr>
              <w:t>Additional spurious emissions for intra-band contiguous  CA</w:t>
            </w:r>
            <w:bookmarkEnd w:id="301"/>
            <w:bookmarkEnd w:id="302"/>
            <w:bookmarkEnd w:id="303"/>
            <w:bookmarkEnd w:id="304"/>
            <w:bookmarkEnd w:id="305"/>
            <w:bookmarkEnd w:id="306"/>
            <w:bookmarkEnd w:id="307"/>
            <w:bookmarkEnd w:id="308"/>
            <w:bookmarkEnd w:id="309"/>
            <w:bookmarkEnd w:id="310"/>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11" w:name="_Toc29802327"/>
            <w:bookmarkStart w:id="312" w:name="_Toc29802952"/>
            <w:bookmarkStart w:id="313" w:name="_Toc76718412"/>
            <w:bookmarkStart w:id="314" w:name="_Toc45888347"/>
            <w:bookmarkStart w:id="315" w:name="_Toc61367645"/>
            <w:bookmarkStart w:id="316" w:name="_Toc21344416"/>
            <w:bookmarkStart w:id="317" w:name="_Toc84405259"/>
            <w:bookmarkStart w:id="318" w:name="_Toc84413868"/>
            <w:bookmarkStart w:id="319" w:name="_Toc36107694"/>
            <w:bookmarkStart w:id="320" w:name="_Toc76509422"/>
            <w:bookmarkStart w:id="321" w:name="_Toc29801903"/>
            <w:bookmarkStart w:id="322" w:name="_Toc69084390"/>
            <w:bookmarkStart w:id="323" w:name="_Toc45888946"/>
            <w:bookmarkStart w:id="324" w:name="_Toc61373028"/>
            <w:bookmarkStart w:id="325" w:name="_Toc68230977"/>
            <w:bookmarkStart w:id="326" w:name="_Toc75467400"/>
            <w:bookmarkStart w:id="327" w:name="_Toc83580750"/>
            <w:r>
              <w:rPr>
                <w:rFonts w:hint="default"/>
              </w:rPr>
              <w:t>6.5A.4.2.1</w:t>
            </w:r>
            <w:r>
              <w:rPr>
                <w:rFonts w:hint="eastAsia"/>
                <w:lang w:val="en-US" w:eastAsia="zh-CN"/>
              </w:rPr>
              <w:t xml:space="preserve"> </w:t>
            </w:r>
            <w:r>
              <w:rPr>
                <w:rFonts w:hint="default"/>
              </w:rPr>
              <w:t>Transmit intermodulation for intra-band contiguous CA</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28" w:name="_Toc75467468"/>
            <w:bookmarkStart w:id="329" w:name="_Toc68231044"/>
            <w:bookmarkStart w:id="330" w:name="_Toc45888394"/>
            <w:bookmarkStart w:id="331" w:name="_Toc76509490"/>
            <w:bookmarkStart w:id="332" w:name="_Toc29802346"/>
            <w:bookmarkStart w:id="333" w:name="_Toc21344435"/>
            <w:bookmarkStart w:id="334" w:name="_Toc76718480"/>
            <w:bookmarkStart w:id="335" w:name="_Toc29802971"/>
            <w:bookmarkStart w:id="336" w:name="_Toc84413945"/>
            <w:bookmarkStart w:id="337" w:name="_Toc36107713"/>
            <w:bookmarkStart w:id="338" w:name="_Toc45888993"/>
            <w:bookmarkStart w:id="339" w:name="_Toc61367711"/>
            <w:bookmarkStart w:id="340" w:name="_Toc37251487"/>
            <w:bookmarkStart w:id="341" w:name="_Toc61373094"/>
            <w:bookmarkStart w:id="342" w:name="_Toc69084457"/>
            <w:bookmarkStart w:id="343" w:name="_Toc84405336"/>
            <w:bookmarkStart w:id="344" w:name="_Toc83580827"/>
            <w:bookmarkStart w:id="345" w:name="_Toc29801922"/>
            <w:r>
              <w:rPr>
                <w:rFonts w:hint="default"/>
              </w:rPr>
              <w:t>7.3A.2.1</w:t>
            </w:r>
            <w:r>
              <w:rPr>
                <w:rFonts w:hint="default"/>
              </w:rPr>
              <w:tab/>
            </w:r>
            <w:r>
              <w:rPr>
                <w:rFonts w:hint="default"/>
              </w:rPr>
              <w:t>Reference sensitivity power level for Intra-band contiguous CA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tc>
        <w:tc>
          <w:tcPr>
            <w:tcW w:w="4981" w:type="dxa"/>
          </w:tcPr>
          <w:p>
            <w:pPr>
              <w:keepNext w:val="0"/>
              <w:keepLines w:val="0"/>
              <w:widowControl/>
              <w:suppressLineNumbers w:val="0"/>
              <w:spacing w:before="0" w:beforeAutospacing="0" w:afterAutospacing="0"/>
              <w:ind w:left="0" w:right="0"/>
              <w:jc w:val="left"/>
              <w:rPr>
                <w:rFonts w:hint="default"/>
                <w:b/>
                <w:bCs/>
                <w:vertAlign w:val="baseline"/>
                <w:lang w:val="en-US" w:eastAsia="zh-CN"/>
              </w:rPr>
            </w:pPr>
            <w:r>
              <w:rPr>
                <w:rFonts w:hint="default"/>
                <w:b/>
                <w:bCs/>
              </w:rPr>
              <w:t>Reference sensitivity power level for Intra-band contiguous CA</w:t>
            </w:r>
          </w:p>
          <w:p>
            <w:pPr>
              <w:keepNext w:val="0"/>
              <w:keepLines w:val="0"/>
              <w:suppressLineNumbers w:val="0"/>
              <w:spacing w:before="0" w:beforeAutospacing="0" w:afterAutospacing="0"/>
              <w:ind w:left="0" w:right="0"/>
              <w:rPr>
                <w:rFonts w:hint="default"/>
              </w:rPr>
            </w:pPr>
            <w:r>
              <w:rPr>
                <w:rFonts w:hint="default"/>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pPr>
              <w:keepNext w:val="0"/>
              <w:keepLines w:val="0"/>
              <w:suppressLineNumbers w:val="0"/>
              <w:spacing w:before="0" w:beforeAutospacing="0" w:afterAutospacing="0"/>
              <w:ind w:left="0" w:right="0"/>
              <w:rPr>
                <w:rFonts w:hint="default"/>
              </w:rPr>
            </w:pPr>
            <w:r>
              <w:rPr>
                <w:rFonts w:hint="default"/>
              </w:rPr>
              <w:t>For UE(s) supporting one uplink carrier, the uplink configuration of the PCC shall be in accordance with Table 7.3.2-3 and the downlink PCC carrier center frequency shall be configured closer to uplink operating band than any of the downlink SCC center frequency.</w:t>
            </w:r>
          </w:p>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b/>
                <w:bCs/>
                <w:vertAlign w:val="baseline"/>
                <w:lang w:val="en-US" w:eastAsia="zh-CN"/>
              </w:rPr>
              <w:t>Proposal 22:</w:t>
            </w:r>
            <w:r>
              <w:rPr>
                <w:rFonts w:hint="eastAsia"/>
                <w:vertAlign w:val="baseline"/>
                <w:lang w:val="en-US" w:eastAsia="zh-CN"/>
              </w:rPr>
              <w:t xml:space="preserve"> to follow the same principle in sub-clause 7.3A.2.1.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46" w:name="_Toc84413985"/>
            <w:bookmarkStart w:id="347" w:name="_Toc36107738"/>
            <w:bookmarkStart w:id="348" w:name="_Toc45889023"/>
            <w:bookmarkStart w:id="349" w:name="_Toc29802371"/>
            <w:bookmarkStart w:id="350" w:name="_Toc68231082"/>
            <w:bookmarkStart w:id="351" w:name="_Toc37251512"/>
            <w:bookmarkStart w:id="352" w:name="_Toc84405376"/>
            <w:bookmarkStart w:id="353" w:name="_Toc61373132"/>
            <w:bookmarkStart w:id="354" w:name="_Toc29801947"/>
            <w:bookmarkStart w:id="355" w:name="_Toc83580867"/>
            <w:bookmarkStart w:id="356" w:name="_Toc21344459"/>
            <w:bookmarkStart w:id="357" w:name="_Toc61367749"/>
            <w:bookmarkStart w:id="358" w:name="_Toc29802996"/>
            <w:bookmarkStart w:id="359" w:name="_Toc76509530"/>
            <w:bookmarkStart w:id="360" w:name="_Toc76718520"/>
            <w:bookmarkStart w:id="361" w:name="_Toc69084495"/>
            <w:bookmarkStart w:id="362" w:name="_Toc75467508"/>
            <w:bookmarkStart w:id="363" w:name="_Toc45888424"/>
            <w:r>
              <w:rPr>
                <w:rFonts w:hint="default"/>
              </w:rPr>
              <w:t>7.4A.1</w:t>
            </w:r>
            <w:r>
              <w:rPr>
                <w:rFonts w:hint="eastAsia"/>
                <w:lang w:val="en-US" w:eastAsia="zh-CN"/>
              </w:rPr>
              <w:t xml:space="preserve"> </w:t>
            </w:r>
            <w:r>
              <w:rPr>
                <w:rFonts w:hint="default"/>
              </w:rPr>
              <w:t>Maximum input level for Intra-band contiguous CA</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tc>
        <w:tc>
          <w:tcPr>
            <w:tcW w:w="4981" w:type="dxa"/>
          </w:tcPr>
          <w:p>
            <w:pPr>
              <w:keepNext w:val="0"/>
              <w:keepLines w:val="0"/>
              <w:widowControl/>
              <w:suppressLineNumbers w:val="0"/>
              <w:spacing w:before="0" w:beforeAutospacing="0" w:afterAutospacing="0"/>
              <w:ind w:left="0" w:right="0"/>
              <w:jc w:val="left"/>
              <w:rPr>
                <w:rFonts w:hint="eastAsia"/>
                <w:b/>
                <w:bCs/>
                <w:vertAlign w:val="baseline"/>
                <w:lang w:val="en-US" w:eastAsia="zh-CN"/>
              </w:rPr>
            </w:pPr>
            <w:r>
              <w:rPr>
                <w:rFonts w:hint="default"/>
                <w:b/>
                <w:bCs/>
              </w:rPr>
              <w:t>Maximum input level for Intra-band contiguous CA</w:t>
            </w:r>
          </w:p>
          <w:p>
            <w:pPr>
              <w:keepNext w:val="0"/>
              <w:keepLines w:val="0"/>
              <w:suppressLineNumbers w:val="0"/>
              <w:spacing w:before="0" w:beforeAutospacing="0" w:afterAutospacing="0"/>
              <w:ind w:left="0" w:right="0"/>
              <w:rPr>
                <w:rFonts w:hint="default"/>
              </w:rPr>
            </w:pPr>
            <w:r>
              <w:rPr>
                <w:rFonts w:hint="default"/>
              </w:rPr>
              <w:t>For intra-band contiguous carrier aggregation maximum input level is defined as the maximum mean power received at the UE antenna port, over the Transmission bandwidth configuration of each CC.</w:t>
            </w:r>
          </w:p>
          <w:p>
            <w:pPr>
              <w:keepNext w:val="0"/>
              <w:keepLines w:val="0"/>
              <w:suppressLineNumbers w:val="0"/>
              <w:spacing w:before="0" w:beforeAutospacing="0" w:afterAutospacing="0"/>
              <w:ind w:left="0" w:right="0"/>
              <w:rPr>
                <w:rFonts w:hint="default"/>
              </w:rPr>
            </w:pPr>
            <w:r>
              <w:rPr>
                <w:rFonts w:hint="default"/>
              </w:rPr>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pPr>
              <w:pStyle w:val="47"/>
              <w:suppressLineNumbers w:val="0"/>
              <w:spacing w:beforeAutospacing="0" w:afterAutospacing="0"/>
              <w:ind w:left="0" w:right="0"/>
              <w:rPr>
                <w:rFonts w:hint="default" w:eastAsia="宋体"/>
                <w:lang w:val="en-US" w:eastAsia="zh-CN"/>
              </w:rPr>
            </w:pPr>
            <w:r>
              <w:rPr>
                <w:rFonts w:hint="default"/>
              </w:rPr>
              <w:t>Table 7.4A.1-1: Maximum input level for Intra-band contiguous CA</w:t>
            </w:r>
            <w:r>
              <w:rPr>
                <w:rFonts w:hint="eastAsia"/>
                <w:lang w:val="en-US" w:eastAsia="zh-CN"/>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675"/>
              <w:gridCol w:w="935"/>
              <w:gridCol w:w="947"/>
              <w:gridCol w:w="599"/>
              <w:gridCol w:w="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666" w:type="dxa"/>
                  <w:tcBorders>
                    <w:top w:val="single" w:color="auto" w:sz="4" w:space="0"/>
                    <w:left w:val="single" w:color="auto" w:sz="4" w:space="0"/>
                    <w:bottom w:val="nil"/>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Rx Parameter</w:t>
                  </w:r>
                </w:p>
              </w:tc>
              <w:tc>
                <w:tcPr>
                  <w:tcW w:w="951" w:type="dxa"/>
                  <w:tcBorders>
                    <w:top w:val="single" w:color="auto" w:sz="4" w:space="0"/>
                    <w:left w:val="single" w:color="auto" w:sz="4" w:space="0"/>
                    <w:bottom w:val="nil"/>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 xml:space="preserve">Units </w:t>
                  </w:r>
                </w:p>
              </w:tc>
              <w:tc>
                <w:tcPr>
                  <w:tcW w:w="6012" w:type="dxa"/>
                  <w:gridSpan w:val="4"/>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666" w:type="dxa"/>
                  <w:tcBorders>
                    <w:top w:val="nil"/>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rFonts w:hint="default" w:cs="Arial"/>
                    </w:rPr>
                  </w:pPr>
                </w:p>
              </w:tc>
              <w:tc>
                <w:tcPr>
                  <w:tcW w:w="951" w:type="dxa"/>
                  <w:tcBorders>
                    <w:top w:val="nil"/>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rFonts w:hint="default" w:cs="Arial"/>
                    </w:rPr>
                  </w:pPr>
                </w:p>
              </w:tc>
              <w:tc>
                <w:tcPr>
                  <w:tcW w:w="1367"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bCs/>
                      <w:lang w:eastAsia="zh-CN"/>
                    </w:rPr>
                  </w:pPr>
                  <w:r>
                    <w:rPr>
                      <w:rFonts w:hint="default"/>
                      <w:bCs/>
                      <w:lang w:eastAsia="zh-CN"/>
                    </w:rPr>
                    <w:t>B</w:t>
                  </w:r>
                </w:p>
              </w:tc>
              <w:tc>
                <w:tcPr>
                  <w:tcW w:w="158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bCs/>
                      <w:lang w:eastAsia="zh-CN"/>
                    </w:rPr>
                  </w:pPr>
                  <w:r>
                    <w:rPr>
                      <w:rFonts w:hint="default"/>
                      <w:bCs/>
                      <w:lang w:eastAsia="zh-CN"/>
                    </w:rPr>
                    <w:t>C</w:t>
                  </w:r>
                </w:p>
              </w:tc>
              <w:tc>
                <w:tcPr>
                  <w:tcW w:w="1543"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bCs/>
                      <w:lang w:eastAsia="zh-CN"/>
                    </w:rPr>
                  </w:pPr>
                  <w:r>
                    <w:rPr>
                      <w:rFonts w:hint="eastAsia"/>
                      <w:bCs/>
                      <w:lang w:eastAsia="zh-CN"/>
                    </w:rPr>
                    <w:t>D</w:t>
                  </w:r>
                </w:p>
              </w:tc>
              <w:tc>
                <w:tcPr>
                  <w:tcW w:w="151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2666" w:type="dxa"/>
                  <w:tcBorders>
                    <w:top w:val="single" w:color="auto" w:sz="4" w:space="0"/>
                    <w:left w:val="single" w:color="auto" w:sz="4" w:space="0"/>
                    <w:bottom w:val="nil"/>
                    <w:right w:val="single" w:color="auto" w:sz="4" w:space="0"/>
                  </w:tcBorders>
                  <w:shd w:val="clear" w:color="auto" w:fill="auto"/>
                  <w:vAlign w:val="center"/>
                </w:tcPr>
                <w:p>
                  <w:pPr>
                    <w:pStyle w:val="39"/>
                    <w:suppressLineNumbers w:val="0"/>
                    <w:spacing w:before="0" w:beforeAutospacing="0" w:afterAutospacing="0"/>
                    <w:ind w:left="0" w:right="0"/>
                    <w:rPr>
                      <w:rFonts w:hint="default"/>
                    </w:rPr>
                  </w:pPr>
                  <w:r>
                    <w:rPr>
                      <w:rFonts w:hint="default"/>
                    </w:rPr>
                    <w:t>Power in largest transmission bandwidth configuration CC, P</w:t>
                  </w:r>
                  <w:r>
                    <w:rPr>
                      <w:rFonts w:hint="default"/>
                      <w:vertAlign w:val="subscript"/>
                    </w:rPr>
                    <w:t>largest BW</w:t>
                  </w:r>
                </w:p>
              </w:tc>
              <w:tc>
                <w:tcPr>
                  <w:tcW w:w="951" w:type="dxa"/>
                  <w:tcBorders>
                    <w:top w:val="single" w:color="auto" w:sz="4" w:space="0"/>
                    <w:left w:val="single" w:color="auto" w:sz="4" w:space="0"/>
                    <w:bottom w:val="nil"/>
                    <w:right w:val="single" w:color="auto" w:sz="4" w:space="0"/>
                  </w:tcBorders>
                  <w:shd w:val="clear" w:color="auto" w:fill="auto"/>
                </w:tcPr>
                <w:p>
                  <w:pPr>
                    <w:pStyle w:val="38"/>
                    <w:suppressLineNumbers w:val="0"/>
                    <w:spacing w:before="0" w:beforeAutospacing="0" w:afterAutospacing="0"/>
                    <w:ind w:left="0" w:right="0"/>
                    <w:rPr>
                      <w:rFonts w:hint="default"/>
                    </w:rPr>
                  </w:pPr>
                  <w:r>
                    <w:rPr>
                      <w:rFonts w:hint="default"/>
                    </w:rPr>
                    <w:t>dBm</w:t>
                  </w:r>
                </w:p>
              </w:tc>
              <w:tc>
                <w:tcPr>
                  <w:tcW w:w="136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eastAsia"/>
                      <w:highlight w:val="yellow"/>
                      <w:vertAlign w:val="baseline"/>
                      <w:lang w:val="en-US" w:eastAsia="zh-CN"/>
                    </w:rPr>
                  </w:pPr>
                  <w:r>
                    <w:rPr>
                      <w:rFonts w:hint="default"/>
                      <w:highlight w:val="yellow"/>
                    </w:rPr>
                    <w:t>-</w:t>
                  </w:r>
                  <w:r>
                    <w:rPr>
                      <w:rFonts w:hint="eastAsia" w:eastAsia="宋体"/>
                      <w:highlight w:val="yellow"/>
                      <w:lang w:val="en-US" w:eastAsia="zh-CN"/>
                    </w:rPr>
                    <w:t>42</w:t>
                  </w:r>
                  <w:r>
                    <w:rPr>
                      <w:rFonts w:hint="default"/>
                      <w:highlight w:val="yellow"/>
                      <w:vertAlign w:val="superscript"/>
                      <w:lang w:eastAsia="zh-CN"/>
                    </w:rPr>
                    <w:t>2</w:t>
                  </w:r>
                  <w:r>
                    <w:rPr>
                      <w:rFonts w:hint="eastAsia"/>
                      <w:highlight w:val="yellow"/>
                      <w:vertAlign w:val="superscript"/>
                      <w:lang w:val="en-US" w:eastAsia="zh-CN"/>
                    </w:rPr>
                    <w:t xml:space="preserve"> </w:t>
                  </w:r>
                  <w:r>
                    <w:rPr>
                      <w:rFonts w:hint="eastAsia"/>
                      <w:highlight w:val="yellow"/>
                      <w:vertAlign w:val="baseline"/>
                      <w:lang w:val="en-US" w:eastAsia="zh-CN"/>
                    </w:rPr>
                    <w:t xml:space="preserve"> for omini antenna</w:t>
                  </w:r>
                </w:p>
                <w:p>
                  <w:pPr>
                    <w:pStyle w:val="38"/>
                    <w:suppressLineNumbers w:val="0"/>
                    <w:spacing w:before="0" w:beforeAutospacing="0" w:afterAutospacing="0"/>
                    <w:ind w:left="0" w:right="0"/>
                    <w:rPr>
                      <w:rFonts w:hint="eastAsia"/>
                      <w:highlight w:val="yellow"/>
                      <w:vertAlign w:val="baseline"/>
                      <w:lang w:val="en-US" w:eastAsia="zh-CN"/>
                    </w:rPr>
                  </w:pPr>
                </w:p>
                <w:p>
                  <w:pPr>
                    <w:pStyle w:val="38"/>
                    <w:suppressLineNumbers w:val="0"/>
                    <w:spacing w:before="0" w:beforeAutospacing="0" w:afterAutospacing="0"/>
                    <w:ind w:left="0" w:right="0"/>
                    <w:rPr>
                      <w:rFonts w:hint="default"/>
                      <w:highlight w:val="yellow"/>
                      <w:vertAlign w:val="baseline"/>
                      <w:lang w:val="en-US" w:eastAsia="zh-CN"/>
                    </w:rPr>
                  </w:pPr>
                  <w:r>
                    <w:rPr>
                      <w:rFonts w:hint="eastAsia"/>
                      <w:highlight w:val="yellow"/>
                      <w:vertAlign w:val="baseline"/>
                      <w:lang w:val="en-US" w:eastAsia="zh-CN"/>
                    </w:rPr>
                    <w:t>-30 for array antenna</w:t>
                  </w:r>
                </w:p>
              </w:tc>
              <w:tc>
                <w:tcPr>
                  <w:tcW w:w="158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eastAsia"/>
                      <w:highlight w:val="yellow"/>
                      <w:vertAlign w:val="baseline"/>
                      <w:lang w:val="en-US" w:eastAsia="zh-CN"/>
                    </w:rPr>
                  </w:pPr>
                  <w:r>
                    <w:rPr>
                      <w:rFonts w:hint="default"/>
                      <w:highlight w:val="yellow"/>
                    </w:rPr>
                    <w:t>-</w:t>
                  </w:r>
                  <w:r>
                    <w:rPr>
                      <w:rFonts w:hint="eastAsia" w:eastAsia="宋体"/>
                      <w:highlight w:val="yellow"/>
                      <w:lang w:val="en-US" w:eastAsia="zh-CN"/>
                    </w:rPr>
                    <w:t>42</w:t>
                  </w:r>
                  <w:r>
                    <w:rPr>
                      <w:rFonts w:hint="default"/>
                      <w:highlight w:val="yellow"/>
                      <w:vertAlign w:val="superscript"/>
                      <w:lang w:eastAsia="zh-CN"/>
                    </w:rPr>
                    <w:t>2</w:t>
                  </w:r>
                  <w:r>
                    <w:rPr>
                      <w:rFonts w:hint="eastAsia"/>
                      <w:highlight w:val="yellow"/>
                      <w:vertAlign w:val="superscript"/>
                      <w:lang w:val="en-US" w:eastAsia="zh-CN"/>
                    </w:rPr>
                    <w:t xml:space="preserve"> </w:t>
                  </w:r>
                  <w:r>
                    <w:rPr>
                      <w:rFonts w:hint="eastAsia"/>
                      <w:highlight w:val="yellow"/>
                      <w:vertAlign w:val="baseline"/>
                      <w:lang w:val="en-US" w:eastAsia="zh-CN"/>
                    </w:rPr>
                    <w:t>for omini antenna</w:t>
                  </w:r>
                </w:p>
                <w:p>
                  <w:pPr>
                    <w:pStyle w:val="38"/>
                    <w:suppressLineNumbers w:val="0"/>
                    <w:spacing w:before="0" w:beforeAutospacing="0" w:afterAutospacing="0"/>
                    <w:ind w:left="0" w:right="0"/>
                    <w:rPr>
                      <w:rFonts w:hint="eastAsia"/>
                      <w:highlight w:val="yellow"/>
                      <w:vertAlign w:val="baseline"/>
                      <w:lang w:val="en-US" w:eastAsia="zh-CN"/>
                    </w:rPr>
                  </w:pPr>
                </w:p>
                <w:p>
                  <w:pPr>
                    <w:pStyle w:val="38"/>
                    <w:suppressLineNumbers w:val="0"/>
                    <w:spacing w:before="0" w:beforeAutospacing="0" w:afterAutospacing="0"/>
                    <w:ind w:left="0" w:right="0"/>
                    <w:rPr>
                      <w:rFonts w:hint="default"/>
                      <w:highlight w:val="yellow"/>
                      <w:vertAlign w:val="baseline"/>
                      <w:lang w:val="en-US" w:eastAsia="zh-CN"/>
                    </w:rPr>
                  </w:pPr>
                  <w:r>
                    <w:rPr>
                      <w:rFonts w:hint="eastAsia"/>
                      <w:highlight w:val="yellow"/>
                      <w:vertAlign w:val="baseline"/>
                      <w:lang w:val="en-US" w:eastAsia="zh-CN"/>
                    </w:rPr>
                    <w:t>-30 for array antenna</w:t>
                  </w:r>
                </w:p>
              </w:tc>
              <w:tc>
                <w:tcPr>
                  <w:tcW w:w="154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highlight w:val="yellow"/>
                      <w:lang w:val="en-US" w:eastAsia="zh-CN"/>
                    </w:rPr>
                  </w:pPr>
                  <w:r>
                    <w:rPr>
                      <w:rFonts w:hint="eastAsia" w:eastAsia="宋体"/>
                      <w:highlight w:val="yellow"/>
                      <w:lang w:val="en-US" w:eastAsia="zh-CN"/>
                    </w:rPr>
                    <w:t>N/A</w:t>
                  </w:r>
                </w:p>
              </w:tc>
              <w:tc>
                <w:tcPr>
                  <w:tcW w:w="151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666" w:type="dxa"/>
                  <w:tcBorders>
                    <w:top w:val="nil"/>
                    <w:left w:val="single" w:color="auto" w:sz="4" w:space="0"/>
                    <w:bottom w:val="single" w:color="auto" w:sz="4" w:space="0"/>
                    <w:right w:val="single" w:color="auto" w:sz="4" w:space="0"/>
                  </w:tcBorders>
                  <w:shd w:val="clear" w:color="auto" w:fill="auto"/>
                  <w:vAlign w:val="center"/>
                </w:tcPr>
                <w:p>
                  <w:pPr>
                    <w:pStyle w:val="39"/>
                    <w:suppressLineNumbers w:val="0"/>
                    <w:spacing w:before="0" w:beforeAutospacing="0" w:afterAutospacing="0"/>
                    <w:ind w:left="0" w:right="0"/>
                    <w:rPr>
                      <w:rFonts w:hint="default" w:cs="Arial"/>
                    </w:rPr>
                  </w:pPr>
                </w:p>
              </w:tc>
              <w:tc>
                <w:tcPr>
                  <w:tcW w:w="951" w:type="dxa"/>
                  <w:tcBorders>
                    <w:top w:val="nil"/>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rFonts w:hint="default" w:cs="Arial"/>
                    </w:rPr>
                  </w:pPr>
                </w:p>
              </w:tc>
              <w:tc>
                <w:tcPr>
                  <w:tcW w:w="136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eastAsia"/>
                      <w:highlight w:val="yellow"/>
                      <w:vertAlign w:val="baseline"/>
                      <w:lang w:val="en-US" w:eastAsia="zh-CN"/>
                    </w:rPr>
                  </w:pPr>
                  <w:r>
                    <w:rPr>
                      <w:rFonts w:hint="default"/>
                      <w:highlight w:val="yellow"/>
                      <w:lang w:eastAsia="zh-CN"/>
                    </w:rPr>
                    <w:t>-</w:t>
                  </w:r>
                  <w:r>
                    <w:rPr>
                      <w:rFonts w:hint="eastAsia"/>
                      <w:highlight w:val="yellow"/>
                      <w:lang w:val="en-US" w:eastAsia="zh-CN"/>
                    </w:rPr>
                    <w:t>44</w:t>
                  </w:r>
                  <w:r>
                    <w:rPr>
                      <w:rFonts w:hint="default"/>
                      <w:highlight w:val="yellow"/>
                      <w:vertAlign w:val="superscript"/>
                      <w:lang w:eastAsia="zh-CN"/>
                    </w:rPr>
                    <w:t>3</w:t>
                  </w:r>
                  <w:r>
                    <w:rPr>
                      <w:rFonts w:hint="eastAsia"/>
                      <w:highlight w:val="yellow"/>
                      <w:vertAlign w:val="superscript"/>
                      <w:lang w:val="en-US" w:eastAsia="zh-CN"/>
                    </w:rPr>
                    <w:t xml:space="preserve"> </w:t>
                  </w:r>
                  <w:r>
                    <w:rPr>
                      <w:rFonts w:hint="eastAsia"/>
                      <w:highlight w:val="yellow"/>
                      <w:vertAlign w:val="baseline"/>
                      <w:lang w:val="en-US" w:eastAsia="zh-CN"/>
                    </w:rPr>
                    <w:t>for omini antenna</w:t>
                  </w:r>
                </w:p>
                <w:p>
                  <w:pPr>
                    <w:pStyle w:val="38"/>
                    <w:suppressLineNumbers w:val="0"/>
                    <w:spacing w:before="0" w:beforeAutospacing="0" w:afterAutospacing="0"/>
                    <w:ind w:left="0" w:right="0"/>
                    <w:rPr>
                      <w:rFonts w:hint="eastAsia"/>
                      <w:highlight w:val="yellow"/>
                      <w:vertAlign w:val="baseline"/>
                      <w:lang w:val="en-US" w:eastAsia="zh-CN"/>
                    </w:rPr>
                  </w:pPr>
                </w:p>
                <w:p>
                  <w:pPr>
                    <w:pStyle w:val="38"/>
                    <w:suppressLineNumbers w:val="0"/>
                    <w:spacing w:before="0" w:beforeAutospacing="0" w:afterAutospacing="0"/>
                    <w:ind w:left="0" w:right="0"/>
                    <w:rPr>
                      <w:rFonts w:hint="default"/>
                      <w:highlight w:val="yellow"/>
                      <w:vertAlign w:val="baseline"/>
                      <w:lang w:val="en-US" w:eastAsia="zh-CN"/>
                    </w:rPr>
                  </w:pPr>
                  <w:r>
                    <w:rPr>
                      <w:rFonts w:hint="eastAsia"/>
                      <w:highlight w:val="yellow"/>
                      <w:vertAlign w:val="baseline"/>
                      <w:lang w:val="en-US" w:eastAsia="zh-CN"/>
                    </w:rPr>
                    <w:t>-32 for array antenna</w:t>
                  </w:r>
                </w:p>
              </w:tc>
              <w:tc>
                <w:tcPr>
                  <w:tcW w:w="158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eastAsia"/>
                      <w:highlight w:val="yellow"/>
                      <w:vertAlign w:val="baseline"/>
                      <w:lang w:val="en-US" w:eastAsia="zh-CN"/>
                    </w:rPr>
                  </w:pPr>
                  <w:r>
                    <w:rPr>
                      <w:rFonts w:hint="default"/>
                      <w:highlight w:val="yellow"/>
                      <w:lang w:eastAsia="zh-CN"/>
                    </w:rPr>
                    <w:t>-</w:t>
                  </w:r>
                  <w:r>
                    <w:rPr>
                      <w:rFonts w:hint="eastAsia"/>
                      <w:highlight w:val="yellow"/>
                      <w:lang w:val="en-US" w:eastAsia="zh-CN"/>
                    </w:rPr>
                    <w:t>44</w:t>
                  </w:r>
                  <w:r>
                    <w:rPr>
                      <w:rFonts w:hint="default"/>
                      <w:highlight w:val="yellow"/>
                      <w:vertAlign w:val="superscript"/>
                      <w:lang w:eastAsia="zh-CN"/>
                    </w:rPr>
                    <w:t>3</w:t>
                  </w:r>
                  <w:r>
                    <w:rPr>
                      <w:rFonts w:hint="eastAsia"/>
                      <w:highlight w:val="yellow"/>
                      <w:vertAlign w:val="superscript"/>
                      <w:lang w:val="en-US" w:eastAsia="zh-CN"/>
                    </w:rPr>
                    <w:t xml:space="preserve"> </w:t>
                  </w:r>
                  <w:r>
                    <w:rPr>
                      <w:rFonts w:hint="eastAsia"/>
                      <w:highlight w:val="yellow"/>
                      <w:vertAlign w:val="baseline"/>
                      <w:lang w:val="en-US" w:eastAsia="zh-CN"/>
                    </w:rPr>
                    <w:t>for omini antenna</w:t>
                  </w:r>
                </w:p>
                <w:p>
                  <w:pPr>
                    <w:pStyle w:val="38"/>
                    <w:suppressLineNumbers w:val="0"/>
                    <w:spacing w:before="0" w:beforeAutospacing="0" w:afterAutospacing="0"/>
                    <w:ind w:left="0" w:right="0"/>
                    <w:rPr>
                      <w:rFonts w:hint="eastAsia"/>
                      <w:highlight w:val="yellow"/>
                      <w:vertAlign w:val="baseline"/>
                      <w:lang w:val="en-US" w:eastAsia="zh-CN"/>
                    </w:rPr>
                  </w:pPr>
                </w:p>
                <w:p>
                  <w:pPr>
                    <w:pStyle w:val="38"/>
                    <w:suppressLineNumbers w:val="0"/>
                    <w:spacing w:before="0" w:beforeAutospacing="0" w:afterAutospacing="0"/>
                    <w:ind w:left="0" w:right="0"/>
                    <w:rPr>
                      <w:rFonts w:hint="default"/>
                      <w:highlight w:val="yellow"/>
                      <w:vertAlign w:val="baseline"/>
                      <w:lang w:val="en-US" w:eastAsia="zh-CN"/>
                    </w:rPr>
                  </w:pPr>
                  <w:r>
                    <w:rPr>
                      <w:rFonts w:hint="eastAsia"/>
                      <w:highlight w:val="yellow"/>
                      <w:vertAlign w:val="baseline"/>
                      <w:lang w:val="en-US" w:eastAsia="zh-CN"/>
                    </w:rPr>
                    <w:t>-32 for array antenna</w:t>
                  </w:r>
                </w:p>
              </w:tc>
              <w:tc>
                <w:tcPr>
                  <w:tcW w:w="154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yellow"/>
                      <w:lang w:val="en-US"/>
                    </w:rPr>
                  </w:pPr>
                  <w:r>
                    <w:rPr>
                      <w:rFonts w:hint="eastAsia"/>
                      <w:highlight w:val="yellow"/>
                      <w:lang w:val="en-US" w:eastAsia="zh-CN"/>
                    </w:rPr>
                    <w:t>N/A</w:t>
                  </w:r>
                </w:p>
              </w:tc>
              <w:tc>
                <w:tcPr>
                  <w:tcW w:w="151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66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jc w:val="left"/>
                    <w:rPr>
                      <w:rFonts w:hint="default"/>
                    </w:rPr>
                  </w:pPr>
                  <w:r>
                    <w:rPr>
                      <w:rFonts w:hint="default"/>
                    </w:rPr>
                    <w:t>Power in each other CC</w:t>
                  </w:r>
                </w:p>
              </w:tc>
              <w:tc>
                <w:tcPr>
                  <w:tcW w:w="951"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cs="Arial"/>
                    </w:rPr>
                  </w:pPr>
                  <w:r>
                    <w:rPr>
                      <w:rFonts w:hint="default"/>
                    </w:rPr>
                    <w:t>dBm</w:t>
                  </w:r>
                </w:p>
              </w:tc>
              <w:tc>
                <w:tcPr>
                  <w:tcW w:w="6012" w:type="dxa"/>
                  <w:gridSpan w:val="4"/>
                  <w:tcBorders>
                    <w:top w:val="single" w:color="auto" w:sz="4" w:space="0"/>
                    <w:left w:val="single" w:color="auto" w:sz="4" w:space="0"/>
                    <w:right w:val="single" w:color="auto" w:sz="4" w:space="0"/>
                  </w:tcBorders>
                </w:tcPr>
                <w:p>
                  <w:pPr>
                    <w:pStyle w:val="38"/>
                    <w:suppressLineNumbers w:val="0"/>
                    <w:spacing w:before="0" w:beforeAutospacing="0" w:afterAutospacing="0"/>
                    <w:ind w:left="0" w:right="0"/>
                    <w:rPr>
                      <w:rFonts w:hint="default"/>
                      <w:vertAlign w:val="superscript"/>
                    </w:rPr>
                  </w:pPr>
                  <w:r>
                    <w:rPr>
                      <w:rFonts w:hint="default"/>
                    </w:rPr>
                    <w:t>P</w:t>
                  </w:r>
                  <w:r>
                    <w:rPr>
                      <w:rFonts w:hint="default"/>
                      <w:vertAlign w:val="subscript"/>
                    </w:rPr>
                    <w:t>largest BW</w:t>
                  </w:r>
                  <w:r>
                    <w:rPr>
                      <w:rFonts w:hint="default"/>
                      <w:lang w:eastAsia="zh-CN"/>
                    </w:rPr>
                    <w:t xml:space="preserve"> +10*log{(N</w:t>
                  </w:r>
                  <w:r>
                    <w:rPr>
                      <w:rFonts w:hint="default"/>
                      <w:vertAlign w:val="subscript"/>
                      <w:lang w:eastAsia="zh-CN"/>
                    </w:rPr>
                    <w:t>RB,c</w:t>
                  </w:r>
                  <w:r>
                    <w:rPr>
                      <w:rFonts w:hint="default"/>
                      <w:lang w:eastAsia="zh-CN"/>
                    </w:rPr>
                    <w:t>*SCS</w:t>
                  </w:r>
                  <w:r>
                    <w:rPr>
                      <w:rFonts w:hint="default"/>
                      <w:vertAlign w:val="subscript"/>
                      <w:lang w:eastAsia="zh-CN"/>
                    </w:rPr>
                    <w:t>c</w:t>
                  </w:r>
                  <w:r>
                    <w:rPr>
                      <w:rFonts w:hint="default"/>
                      <w:lang w:eastAsia="zh-CN"/>
                    </w:rPr>
                    <w:t>)/(N</w:t>
                  </w:r>
                  <w:r>
                    <w:rPr>
                      <w:rFonts w:hint="default"/>
                      <w:vertAlign w:val="subscript"/>
                      <w:lang w:eastAsia="zh-CN"/>
                    </w:rPr>
                    <w:t>RB,largest BW</w:t>
                  </w:r>
                  <w:r>
                    <w:rPr>
                      <w:rFonts w:hint="default"/>
                      <w:lang w:eastAsia="zh-CN"/>
                    </w:rPr>
                    <w:t>*SCS</w:t>
                  </w:r>
                  <w:r>
                    <w:rPr>
                      <w:rFonts w:hint="default"/>
                      <w:vertAlign w:val="subscript"/>
                      <w:lang w:eastAsia="zh-CN"/>
                    </w:rPr>
                    <w:t>largest BW</w:t>
                  </w:r>
                  <w:r>
                    <w:rPr>
                      <w:rFonts w:hint="default"/>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6"/>
                  <w:tcBorders>
                    <w:top w:val="single" w:color="auto" w:sz="4" w:space="0"/>
                    <w:left w:val="single" w:color="auto" w:sz="4" w:space="0"/>
                    <w:bottom w:val="single" w:color="auto" w:sz="4" w:space="0"/>
                    <w:right w:val="single" w:color="auto" w:sz="4" w:space="0"/>
                  </w:tcBorders>
                </w:tcPr>
                <w:p>
                  <w:pPr>
                    <w:pStyle w:val="50"/>
                    <w:suppressLineNumbers w:val="0"/>
                    <w:spacing w:before="0" w:beforeAutospacing="0" w:afterAutospacing="0"/>
                    <w:ind w:right="0"/>
                    <w:rPr>
                      <w:rFonts w:hint="default"/>
                    </w:rPr>
                  </w:pPr>
                  <w:r>
                    <w:rPr>
                      <w:rFonts w:hint="default"/>
                    </w:rPr>
                    <w:t>NOTE 1:</w:t>
                  </w:r>
                  <w:r>
                    <w:rPr>
                      <w:rFonts w:hint="default"/>
                    </w:rPr>
                    <w:tab/>
                  </w:r>
                  <w:r>
                    <w:rPr>
                      <w:rFonts w:hint="default"/>
                    </w:rPr>
                    <w:t>The transmitter shall be set to 4 dB below P</w:t>
                  </w:r>
                  <w:r>
                    <w:rPr>
                      <w:rFonts w:hint="default"/>
                      <w:vertAlign w:val="subscript"/>
                    </w:rPr>
                    <w:t>CMAX_L,f,c</w:t>
                  </w:r>
                  <w:r>
                    <w:rPr>
                      <w:rFonts w:hint="default"/>
                    </w:rPr>
                    <w:t xml:space="preserve"> at the minimum uplink configuration specified in Table 7.3.2-3 and </w:t>
                  </w:r>
                  <w:bookmarkStart w:id="364" w:name="_Hlk118195090"/>
                  <w:r>
                    <w:rPr>
                      <w:rFonts w:hint="default"/>
                    </w:rPr>
                    <w:t xml:space="preserve">7.3F.2-3 </w:t>
                  </w:r>
                  <w:bookmarkEnd w:id="364"/>
                  <w:r>
                    <w:rPr>
                      <w:rFonts w:hint="default"/>
                    </w:rPr>
                    <w:t>for shared spectrum channel access operation with P</w:t>
                  </w:r>
                  <w:r>
                    <w:rPr>
                      <w:rFonts w:hint="default"/>
                      <w:vertAlign w:val="subscript"/>
                    </w:rPr>
                    <w:t>CMAX_L,f,c</w:t>
                  </w:r>
                  <w:r>
                    <w:rPr>
                      <w:rFonts w:hint="default"/>
                    </w:rPr>
                    <w:t xml:space="preserve"> as defined in clause 6.2.4.</w:t>
                  </w:r>
                </w:p>
                <w:p>
                  <w:pPr>
                    <w:pStyle w:val="50"/>
                    <w:suppressLineNumbers w:val="0"/>
                    <w:spacing w:before="0" w:beforeAutospacing="0" w:afterAutospacing="0"/>
                    <w:ind w:right="0"/>
                    <w:rPr>
                      <w:rFonts w:hint="default"/>
                    </w:rPr>
                  </w:pPr>
                  <w:r>
                    <w:rPr>
                      <w:rFonts w:hint="default"/>
                    </w:rPr>
                    <w:t>NOTE 2:</w:t>
                  </w:r>
                  <w:r>
                    <w:rPr>
                      <w:rFonts w:hint="default"/>
                    </w:rPr>
                    <w:tab/>
                  </w:r>
                  <w:r>
                    <w:rPr>
                      <w:rFonts w:hint="default"/>
                    </w:rPr>
                    <w:t>Reference measurement channel is A.3.2.3 or A.3.3.3 for 64 QAM.</w:t>
                  </w:r>
                </w:p>
                <w:p>
                  <w:pPr>
                    <w:keepNext/>
                    <w:keepLines/>
                    <w:suppressLineNumbers w:val="0"/>
                    <w:spacing w:before="0" w:beforeAutospacing="0" w:after="0" w:afterAutospacing="0"/>
                    <w:ind w:left="851" w:right="0" w:hanging="851"/>
                    <w:rPr>
                      <w:rFonts w:hint="default" w:ascii="Arial" w:hAnsi="Arial" w:eastAsiaTheme="minorEastAsia"/>
                      <w:sz w:val="18"/>
                    </w:rPr>
                  </w:pPr>
                  <w:r>
                    <w:rPr>
                      <w:rFonts w:hint="default" w:ascii="Arial" w:hAnsi="Arial" w:eastAsiaTheme="minorEastAsia"/>
                      <w:sz w:val="18"/>
                    </w:rPr>
                    <w:t>NOTE 3:</w:t>
                  </w:r>
                  <w:r>
                    <w:rPr>
                      <w:rFonts w:hint="default" w:ascii="Arial" w:hAnsi="Arial" w:eastAsiaTheme="minorEastAsia"/>
                      <w:sz w:val="18"/>
                    </w:rPr>
                    <w:tab/>
                  </w:r>
                  <w:r>
                    <w:rPr>
                      <w:rFonts w:hint="default" w:ascii="Arial" w:hAnsi="Arial" w:eastAsiaTheme="minorEastAsia"/>
                      <w:sz w:val="18"/>
                    </w:rPr>
                    <w:t>Reference measurement channel is A.3.2.4 or A.3.3.4 for 256 QAM.</w:t>
                  </w:r>
                </w:p>
                <w:p>
                  <w:pPr>
                    <w:pStyle w:val="50"/>
                    <w:suppressLineNumbers w:val="0"/>
                    <w:spacing w:before="0" w:beforeAutospacing="0" w:afterAutospacing="0"/>
                    <w:ind w:left="0" w:right="0" w:firstLine="0"/>
                    <w:rPr>
                      <w:rFonts w:hint="default"/>
                      <w:b/>
                      <w:szCs w:val="18"/>
                    </w:rPr>
                  </w:pPr>
                </w:p>
              </w:tc>
            </w:tr>
          </w:tbl>
          <w:p>
            <w:pPr>
              <w:keepNext w:val="0"/>
              <w:keepLines w:val="0"/>
              <w:widowControl/>
              <w:suppressLineNumbers w:val="0"/>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65" w:name="_Toc84405386"/>
            <w:bookmarkStart w:id="366" w:name="_Toc45889033"/>
            <w:bookmarkStart w:id="367" w:name="_Toc21344465"/>
            <w:bookmarkStart w:id="368" w:name="_Toc61367759"/>
            <w:bookmarkStart w:id="369" w:name="_Toc29801953"/>
            <w:bookmarkStart w:id="370" w:name="_Toc83580877"/>
            <w:bookmarkStart w:id="371" w:name="_Toc37251518"/>
            <w:bookmarkStart w:id="372" w:name="_Toc76718530"/>
            <w:bookmarkStart w:id="373" w:name="_Toc69084505"/>
            <w:bookmarkStart w:id="374" w:name="_Toc61373142"/>
            <w:bookmarkStart w:id="375" w:name="_Toc29802377"/>
            <w:bookmarkStart w:id="376" w:name="_Toc36107744"/>
            <w:bookmarkStart w:id="377" w:name="_Toc29803002"/>
            <w:bookmarkStart w:id="378" w:name="_Toc75467518"/>
            <w:bookmarkStart w:id="379" w:name="_Toc76509540"/>
            <w:bookmarkStart w:id="380" w:name="_Toc68231092"/>
            <w:bookmarkStart w:id="381" w:name="_Toc45888434"/>
            <w:bookmarkStart w:id="382" w:name="_Toc84413995"/>
            <w:r>
              <w:rPr>
                <w:rFonts w:hint="default"/>
              </w:rPr>
              <w:t>7.5A.1</w:t>
            </w:r>
            <w:r>
              <w:rPr>
                <w:rFonts w:hint="eastAsia"/>
                <w:lang w:val="en-US" w:eastAsia="zh-CN"/>
              </w:rPr>
              <w:t xml:space="preserve"> </w:t>
            </w:r>
            <w:r>
              <w:rPr>
                <w:rFonts w:hint="default"/>
              </w:rPr>
              <w:t>Adjacent channel selectivity for Intra-band contiguous CA</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tc>
        <w:tc>
          <w:tcPr>
            <w:tcW w:w="4981" w:type="dxa"/>
          </w:tcPr>
          <w:p>
            <w:pPr>
              <w:keepNext w:val="0"/>
              <w:keepLines w:val="0"/>
              <w:widowControl/>
              <w:suppressLineNumbers w:val="0"/>
              <w:spacing w:before="0" w:beforeAutospacing="0" w:afterAutospacing="0"/>
              <w:ind w:left="0" w:right="0"/>
              <w:jc w:val="left"/>
              <w:rPr>
                <w:rFonts w:hint="default" w:eastAsia="宋体"/>
                <w:lang w:val="en-US" w:eastAsia="zh-CN"/>
              </w:rPr>
            </w:pPr>
            <w:r>
              <w:rPr>
                <w:rFonts w:hint="eastAsia"/>
                <w:lang w:val="en-US" w:eastAsia="zh-CN"/>
              </w:rPr>
              <w:t xml:space="preserve">To following the existing requirement defined in clause </w:t>
            </w:r>
            <w:r>
              <w:rPr>
                <w:rFonts w:hint="default"/>
              </w:rPr>
              <w:t>7.5A.1</w:t>
            </w:r>
            <w:r>
              <w:rPr>
                <w:rFonts w:hint="eastAsia"/>
                <w:lang w:val="en-US" w:eastAsia="zh-CN"/>
              </w:rPr>
              <w:t xml:space="preserve"> with the following power to be updated for ATG UE.</w:t>
            </w:r>
          </w:p>
          <w:p>
            <w:pPr>
              <w:keepNext w:val="0"/>
              <w:keepLines w:val="0"/>
              <w:widowControl/>
              <w:numPr>
                <w:ilvl w:val="0"/>
                <w:numId w:val="3"/>
              </w:numPr>
              <w:suppressLineNumbers w:val="0"/>
              <w:spacing w:before="0" w:beforeAutospacing="0" w:afterAutospacing="0"/>
              <w:ind w:left="420" w:right="0" w:hanging="420"/>
              <w:jc w:val="left"/>
              <w:rPr>
                <w:rFonts w:hint="default"/>
              </w:rPr>
            </w:pPr>
            <w:r>
              <w:rPr>
                <w:rFonts w:hint="default"/>
              </w:rPr>
              <w:t>Pw in Transmission Bandwidth Configuration, per CC</w:t>
            </w:r>
          </w:p>
          <w:p>
            <w:pPr>
              <w:keepNext w:val="0"/>
              <w:keepLines w:val="0"/>
              <w:widowControl/>
              <w:numPr>
                <w:ilvl w:val="0"/>
                <w:numId w:val="3"/>
              </w:numPr>
              <w:suppressLineNumbers w:val="0"/>
              <w:spacing w:before="0" w:beforeAutospacing="0" w:afterAutospacing="0"/>
              <w:ind w:left="420" w:right="0" w:hanging="420"/>
              <w:jc w:val="left"/>
              <w:rPr>
                <w:rFonts w:hint="default"/>
                <w:lang w:val="en-US" w:eastAsia="zh-CN"/>
              </w:rPr>
            </w:pPr>
            <w:r>
              <w:rPr>
                <w:rFonts w:hint="default"/>
                <w:bCs/>
              </w:rPr>
              <w:t>P</w:t>
            </w:r>
            <w:r>
              <w:rPr>
                <w:rFonts w:hint="default"/>
                <w:bCs/>
                <w:vertAlign w:val="subscript"/>
              </w:rPr>
              <w:t>Interferer</w:t>
            </w:r>
            <w:r>
              <w:rPr>
                <w:rFonts w:hint="eastAsia"/>
                <w:bCs/>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383" w:name="_Toc76718549"/>
            <w:bookmarkStart w:id="384" w:name="_Toc37251530"/>
            <w:bookmarkStart w:id="385" w:name="_Toc83580896"/>
            <w:bookmarkStart w:id="386" w:name="_Toc84414014"/>
            <w:bookmarkStart w:id="387" w:name="_Toc29802389"/>
            <w:bookmarkStart w:id="388" w:name="_Toc21344477"/>
            <w:bookmarkStart w:id="389" w:name="_Toc76509559"/>
            <w:bookmarkStart w:id="390" w:name="_Toc68231111"/>
            <w:bookmarkStart w:id="391" w:name="_Toc29801965"/>
            <w:bookmarkStart w:id="392" w:name="_Toc69084524"/>
            <w:bookmarkStart w:id="393" w:name="_Toc45889049"/>
            <w:bookmarkStart w:id="394" w:name="_Toc36107756"/>
            <w:bookmarkStart w:id="395" w:name="_Toc61373161"/>
            <w:bookmarkStart w:id="396" w:name="_Toc75467537"/>
            <w:bookmarkStart w:id="397" w:name="_Toc29803014"/>
            <w:bookmarkStart w:id="398" w:name="_Toc84405405"/>
            <w:bookmarkStart w:id="399" w:name="_Toc45888450"/>
            <w:bookmarkStart w:id="400" w:name="_Toc61367778"/>
            <w:r>
              <w:rPr>
                <w:rFonts w:hint="default"/>
              </w:rPr>
              <w:t>7.6A.2.1</w:t>
            </w:r>
            <w:r>
              <w:rPr>
                <w:rFonts w:hint="default"/>
              </w:rPr>
              <w:tab/>
            </w:r>
            <w:r>
              <w:rPr>
                <w:rFonts w:hint="default"/>
              </w:rPr>
              <w:t>In-band blocking for Intra-band contiguous CA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4981" w:type="dxa"/>
          </w:tcPr>
          <w:p>
            <w:pPr>
              <w:keepNext w:val="0"/>
              <w:keepLines w:val="0"/>
              <w:widowControl/>
              <w:suppressLineNumbers w:val="0"/>
              <w:spacing w:before="0" w:beforeAutospacing="0" w:afterAutospacing="0"/>
              <w:ind w:left="0" w:right="0"/>
              <w:jc w:val="left"/>
              <w:rPr>
                <w:rFonts w:hint="eastAsia" w:eastAsia="宋体"/>
                <w:vertAlign w:val="baseline"/>
                <w:lang w:val="en-US" w:eastAsia="zh-CN"/>
              </w:rPr>
            </w:pPr>
            <w:r>
              <w:rPr>
                <w:rFonts w:hint="eastAsia"/>
                <w:vertAlign w:val="baseline"/>
                <w:lang w:val="en-US" w:eastAsia="zh-CN"/>
              </w:rPr>
              <w:t xml:space="preserve">To following the existing requirements defined in Clause </w:t>
            </w:r>
            <w:r>
              <w:rPr>
                <w:rFonts w:hint="default"/>
              </w:rPr>
              <w:t>7.6A.2.1</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401" w:name="_Toc29802393"/>
            <w:bookmarkStart w:id="402" w:name="_Toc29801969"/>
            <w:bookmarkStart w:id="403" w:name="_Toc45889053"/>
            <w:bookmarkStart w:id="404" w:name="_Toc21344481"/>
            <w:bookmarkStart w:id="405" w:name="_Toc69084528"/>
            <w:bookmarkStart w:id="406" w:name="_Toc76718553"/>
            <w:bookmarkStart w:id="407" w:name="_Toc45888454"/>
            <w:bookmarkStart w:id="408" w:name="_Toc37251534"/>
            <w:bookmarkStart w:id="409" w:name="_Toc61367782"/>
            <w:bookmarkStart w:id="410" w:name="_Toc84405409"/>
            <w:bookmarkStart w:id="411" w:name="_Toc76509563"/>
            <w:bookmarkStart w:id="412" w:name="_Toc75467541"/>
            <w:bookmarkStart w:id="413" w:name="_Toc84414018"/>
            <w:bookmarkStart w:id="414" w:name="_Toc61373165"/>
            <w:bookmarkStart w:id="415" w:name="_Toc83580900"/>
            <w:bookmarkStart w:id="416" w:name="_Toc36107760"/>
            <w:bookmarkStart w:id="417" w:name="_Toc68231115"/>
            <w:bookmarkStart w:id="418" w:name="_Toc29803018"/>
            <w:r>
              <w:rPr>
                <w:rFonts w:hint="default"/>
              </w:rPr>
              <w:t>7.6A.3.1</w:t>
            </w:r>
            <w:r>
              <w:rPr>
                <w:rFonts w:hint="default"/>
              </w:rPr>
              <w:tab/>
            </w:r>
            <w:r>
              <w:rPr>
                <w:rFonts w:hint="default"/>
              </w:rPr>
              <w:t>Out-of-band blocking for Intra-band contiguous CA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default"/>
              </w:rPr>
              <w:t>7.6A.3.1</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419" w:name="_Toc37251538"/>
            <w:bookmarkStart w:id="420" w:name="_Toc29803022"/>
            <w:bookmarkStart w:id="421" w:name="_Toc45889057"/>
            <w:bookmarkStart w:id="422" w:name="_Toc45888458"/>
            <w:bookmarkStart w:id="423" w:name="_Toc84414022"/>
            <w:bookmarkStart w:id="424" w:name="_Toc75467545"/>
            <w:bookmarkStart w:id="425" w:name="_Toc76509567"/>
            <w:bookmarkStart w:id="426" w:name="_Toc83580904"/>
            <w:bookmarkStart w:id="427" w:name="_Toc76718557"/>
            <w:bookmarkStart w:id="428" w:name="_Toc61367786"/>
            <w:bookmarkStart w:id="429" w:name="_Toc69084532"/>
            <w:bookmarkStart w:id="430" w:name="_Toc61373169"/>
            <w:bookmarkStart w:id="431" w:name="_Toc29802397"/>
            <w:bookmarkStart w:id="432" w:name="_Toc68231119"/>
            <w:bookmarkStart w:id="433" w:name="_Toc84405413"/>
            <w:bookmarkStart w:id="434" w:name="_Toc21344485"/>
            <w:bookmarkStart w:id="435" w:name="_Toc36107764"/>
            <w:bookmarkStart w:id="436" w:name="_Toc29801973"/>
            <w:r>
              <w:rPr>
                <w:rFonts w:hint="default"/>
              </w:rPr>
              <w:t>7.6A.4.1</w:t>
            </w:r>
            <w:r>
              <w:rPr>
                <w:rFonts w:hint="default"/>
              </w:rPr>
              <w:tab/>
            </w:r>
            <w:r>
              <w:rPr>
                <w:rFonts w:hint="default"/>
              </w:rPr>
              <w:t>Narrow band blocking for Intra-band contiguous CA</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81" w:type="dxa"/>
          </w:tcPr>
          <w:p>
            <w:pPr>
              <w:keepNext w:val="0"/>
              <w:keepLines w:val="0"/>
              <w:widowControl/>
              <w:suppressLineNumbers w:val="0"/>
              <w:spacing w:before="0" w:beforeAutospacing="0" w:afterAutospacing="0"/>
              <w:ind w:left="0" w:right="0"/>
              <w:jc w:val="left"/>
              <w:rPr>
                <w:rFonts w:hint="default"/>
              </w:rPr>
            </w:pPr>
            <w:bookmarkStart w:id="437" w:name="_Toc61367814"/>
            <w:bookmarkStart w:id="438" w:name="_Toc76718585"/>
            <w:bookmarkStart w:id="439" w:name="_Toc45888478"/>
            <w:bookmarkStart w:id="440" w:name="_Toc61373197"/>
            <w:bookmarkStart w:id="441" w:name="_Toc69084560"/>
            <w:bookmarkStart w:id="442" w:name="_Toc83580932"/>
            <w:bookmarkStart w:id="443" w:name="_Toc29801984"/>
            <w:bookmarkStart w:id="444" w:name="_Toc68231147"/>
            <w:bookmarkStart w:id="445" w:name="_Toc76509595"/>
            <w:bookmarkStart w:id="446" w:name="_Toc84414050"/>
            <w:bookmarkStart w:id="447" w:name="_Toc29802408"/>
            <w:bookmarkStart w:id="448" w:name="_Toc84405441"/>
            <w:bookmarkStart w:id="449" w:name="_Toc21344496"/>
            <w:bookmarkStart w:id="450" w:name="_Toc45889077"/>
            <w:bookmarkStart w:id="451" w:name="_Toc36107775"/>
            <w:bookmarkStart w:id="452" w:name="_Toc37251549"/>
            <w:bookmarkStart w:id="453" w:name="_Toc75467573"/>
            <w:bookmarkStart w:id="454" w:name="_Toc29803033"/>
            <w:r>
              <w:rPr>
                <w:rFonts w:hint="default"/>
              </w:rPr>
              <w:t>7.7A.1</w:t>
            </w:r>
            <w:r>
              <w:rPr>
                <w:rFonts w:hint="eastAsia"/>
                <w:lang w:val="en-US" w:eastAsia="zh-CN"/>
              </w:rPr>
              <w:t xml:space="preserve"> </w:t>
            </w:r>
            <w:r>
              <w:rPr>
                <w:rFonts w:hint="default"/>
              </w:rPr>
              <w:t>Spurious response for Intra-band contiguous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default"/>
              </w:rPr>
              <w:t>7.7A.1</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rPr>
            </w:pPr>
            <w:bookmarkStart w:id="455" w:name="_Toc45889091"/>
            <w:bookmarkStart w:id="456" w:name="_Toc61367831"/>
            <w:bookmarkStart w:id="457" w:name="_Toc21344506"/>
            <w:bookmarkStart w:id="458" w:name="_Toc29801994"/>
            <w:bookmarkStart w:id="459" w:name="_Toc75467590"/>
            <w:bookmarkStart w:id="460" w:name="_Toc83580949"/>
            <w:bookmarkStart w:id="461" w:name="_Toc84405458"/>
            <w:bookmarkStart w:id="462" w:name="_Toc29803043"/>
            <w:bookmarkStart w:id="463" w:name="_Toc45888492"/>
            <w:bookmarkStart w:id="464" w:name="_Toc68231164"/>
            <w:bookmarkStart w:id="465" w:name="_Toc69084577"/>
            <w:bookmarkStart w:id="466" w:name="_Toc76509612"/>
            <w:bookmarkStart w:id="467" w:name="_Toc29802418"/>
            <w:bookmarkStart w:id="468" w:name="_Toc84414067"/>
            <w:bookmarkStart w:id="469" w:name="_Toc76718602"/>
            <w:bookmarkStart w:id="470" w:name="_Toc36107785"/>
            <w:bookmarkStart w:id="471" w:name="_Toc61373214"/>
            <w:bookmarkStart w:id="472" w:name="_Toc37251559"/>
            <w:r>
              <w:rPr>
                <w:rFonts w:hint="default"/>
              </w:rPr>
              <w:t>7.8A.2.1</w:t>
            </w:r>
            <w:r>
              <w:rPr>
                <w:rFonts w:hint="default"/>
              </w:rPr>
              <w:tab/>
            </w:r>
            <w:r>
              <w:rPr>
                <w:rFonts w:hint="default"/>
              </w:rPr>
              <w:t>Wide band intermodulation for Intra-band contiguous CA</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default"/>
              </w:rPr>
              <w:t>7.8A.2.1</w:t>
            </w:r>
            <w:r>
              <w:rPr>
                <w:rFonts w:hint="eastAsia"/>
                <w:lang w:val="en-US" w:eastAsia="zh-CN"/>
              </w:rPr>
              <w:t>.</w:t>
            </w:r>
          </w:p>
        </w:tc>
      </w:tr>
    </w:tbl>
    <w:p>
      <w:pPr>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snapToGrid/>
        <w:spacing w:after="0"/>
        <w:ind w:leftChars="0"/>
        <w:textAlignment w:val="auto"/>
        <w:rPr>
          <w:rFonts w:hint="default"/>
          <w:lang w:val="en-US" w:eastAsia="zh-CN"/>
        </w:rPr>
      </w:pP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2.3. RF requirements for Inter-band CA </w:t>
      </w:r>
    </w:p>
    <w:p>
      <w:pPr>
        <w:tabs>
          <w:tab w:val="left" w:pos="2127"/>
        </w:tabs>
        <w:spacing w:after="0"/>
        <w:rPr>
          <w:rFonts w:hint="eastAsia"/>
          <w:lang w:val="en-US" w:eastAsia="zh-CN"/>
        </w:rPr>
      </w:pPr>
      <w:r>
        <w:rPr>
          <w:rFonts w:hint="eastAsia"/>
          <w:lang w:val="en-US" w:eastAsia="zh-CN"/>
        </w:rPr>
        <w:t xml:space="preserve">In this section, we provide some initial analysis on the overall requirement for ATG UE supporting inter-band DL CA and also provided the summary of proposals for it. </w:t>
      </w:r>
    </w:p>
    <w:p>
      <w:pPr>
        <w:tabs>
          <w:tab w:val="left" w:pos="2127"/>
        </w:tabs>
        <w:spacing w:after="0"/>
        <w:jc w:val="center"/>
        <w:rPr>
          <w:rFonts w:hint="eastAsia"/>
          <w:sz w:val="28"/>
          <w:szCs w:val="28"/>
          <w:lang w:val="en-US" w:eastAsia="zh-CN"/>
        </w:rPr>
      </w:pPr>
      <w:r>
        <w:rPr>
          <w:rFonts w:hint="eastAsia"/>
          <w:lang w:val="en-US" w:eastAsia="zh-CN"/>
        </w:rPr>
        <w:t>Table 3. Analysis and summary of proposals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The existing RF requirement for inter-band CA</w:t>
            </w: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ATG UE supporting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vertAlign w:val="baseline"/>
                <w:lang w:val="en-US" w:eastAsia="zh-CN"/>
              </w:rPr>
            </w:pPr>
            <w:bookmarkStart w:id="473" w:name="_Toc84404923"/>
            <w:bookmarkStart w:id="474" w:name="_Toc76509114"/>
            <w:bookmarkStart w:id="475" w:name="_Toc68230670"/>
            <w:bookmarkStart w:id="476" w:name="_Toc75467092"/>
            <w:bookmarkStart w:id="477" w:name="_Toc61372729"/>
            <w:bookmarkStart w:id="478" w:name="_Toc61367346"/>
            <w:bookmarkStart w:id="479" w:name="_Toc69084083"/>
            <w:bookmarkStart w:id="480" w:name="_Toc84413532"/>
            <w:bookmarkStart w:id="481" w:name="_Toc76718104"/>
            <w:bookmarkStart w:id="482" w:name="_Toc83580414"/>
            <w:r>
              <w:rPr>
                <w:rFonts w:hint="eastAsia" w:ascii="Times New Roman" w:hAnsi="Times New Roman" w:eastAsia="宋体" w:cs="Times New Roman"/>
                <w:b w:val="0"/>
                <w:bCs w:val="0"/>
                <w:kern w:val="2"/>
                <w:sz w:val="21"/>
                <w:szCs w:val="22"/>
                <w:vertAlign w:val="baseline"/>
                <w:lang w:val="en-US" w:eastAsia="zh-CN" w:bidi="ar-SA"/>
              </w:rPr>
              <w:t>6.2A.1.3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for Inter-band CA</w:t>
            </w:r>
            <w:bookmarkEnd w:id="473"/>
            <w:bookmarkEnd w:id="474"/>
            <w:bookmarkEnd w:id="475"/>
            <w:bookmarkEnd w:id="476"/>
            <w:bookmarkEnd w:id="477"/>
            <w:bookmarkEnd w:id="478"/>
            <w:bookmarkEnd w:id="479"/>
            <w:bookmarkEnd w:id="480"/>
            <w:bookmarkEnd w:id="481"/>
            <w:bookmarkEnd w:id="482"/>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reduction for Inter-band CA</w:t>
            </w:r>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6.2A.3.1.3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additional maximum output power reduction for Inter-band CA</w:t>
            </w:r>
          </w:p>
          <w:p>
            <w:pPr>
              <w:keepNext w:val="0"/>
              <w:keepLines w:val="0"/>
              <w:widowControl/>
              <w:suppressLineNumbers w:val="0"/>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483" w:name="_Toc21344272"/>
            <w:bookmarkStart w:id="484" w:name="_Toc45888121"/>
            <w:bookmarkStart w:id="485" w:name="_Toc68230689"/>
            <w:bookmarkStart w:id="486" w:name="_Toc84413551"/>
            <w:bookmarkStart w:id="487" w:name="_Toc61372748"/>
            <w:bookmarkStart w:id="488" w:name="_Toc75467111"/>
            <w:bookmarkStart w:id="489" w:name="_Toc36107549"/>
            <w:bookmarkStart w:id="490" w:name="_Toc69084102"/>
            <w:bookmarkStart w:id="491" w:name="_Toc45888720"/>
            <w:bookmarkStart w:id="492" w:name="_Toc29801758"/>
            <w:bookmarkStart w:id="493" w:name="_Toc83580433"/>
            <w:bookmarkStart w:id="494" w:name="_Toc37251315"/>
            <w:bookmarkStart w:id="495" w:name="_Toc61367365"/>
            <w:bookmarkStart w:id="496" w:name="_Toc76718123"/>
            <w:bookmarkStart w:id="497" w:name="_Toc29802807"/>
            <w:bookmarkStart w:id="498" w:name="_Toc29802182"/>
            <w:bookmarkStart w:id="499" w:name="_Toc84404942"/>
            <w:bookmarkStart w:id="500" w:name="_Toc76509133"/>
            <w:r>
              <w:rPr>
                <w:rFonts w:hint="eastAsia" w:ascii="Times New Roman" w:hAnsi="Times New Roman" w:eastAsia="宋体" w:cs="Times New Roman"/>
                <w:b w:val="0"/>
                <w:bCs w:val="0"/>
                <w:kern w:val="2"/>
                <w:sz w:val="21"/>
                <w:szCs w:val="22"/>
                <w:vertAlign w:val="baseline"/>
                <w:lang w:val="en-US" w:eastAsia="zh-CN" w:bidi="ar-SA"/>
              </w:rPr>
              <w:t>6.2A.4.1.3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Configured transmitted power for Inter-band CA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pPr>
              <w:keepNext w:val="0"/>
              <w:keepLines w:val="0"/>
              <w:widowControl/>
              <w:suppressLineNumbers w:val="0"/>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01" w:name="_Toc75467190"/>
            <w:bookmarkStart w:id="502" w:name="_Toc69084180"/>
            <w:bookmarkStart w:id="503" w:name="_Toc84413641"/>
            <w:bookmarkStart w:id="504" w:name="_Toc83580523"/>
            <w:bookmarkStart w:id="505" w:name="_Toc68230767"/>
            <w:bookmarkStart w:id="506" w:name="_Toc84405032"/>
            <w:bookmarkStart w:id="507" w:name="_Toc76718202"/>
            <w:bookmarkStart w:id="508" w:name="_Toc61372826"/>
            <w:bookmarkStart w:id="509" w:name="_Toc76509212"/>
            <w:bookmarkStart w:id="510" w:name="_Toc61367443"/>
            <w:r>
              <w:rPr>
                <w:rFonts w:hint="eastAsia" w:ascii="Times New Roman" w:hAnsi="Times New Roman" w:eastAsia="宋体" w:cs="Times New Roman"/>
                <w:b w:val="0"/>
                <w:bCs w:val="0"/>
                <w:kern w:val="2"/>
                <w:sz w:val="21"/>
                <w:szCs w:val="22"/>
                <w:vertAlign w:val="baseline"/>
                <w:lang w:val="en-US" w:eastAsia="zh-CN" w:bidi="ar-SA"/>
              </w:rPr>
              <w:t>6.3A.1.3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Minimum output power for inter-band CA</w:t>
            </w:r>
            <w:bookmarkEnd w:id="501"/>
            <w:bookmarkEnd w:id="502"/>
            <w:bookmarkEnd w:id="503"/>
            <w:bookmarkEnd w:id="504"/>
            <w:bookmarkEnd w:id="505"/>
            <w:bookmarkEnd w:id="506"/>
            <w:bookmarkEnd w:id="507"/>
            <w:bookmarkEnd w:id="508"/>
            <w:bookmarkEnd w:id="509"/>
            <w:bookmarkEnd w:id="510"/>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OFF power for inter-band CA</w:t>
            </w: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ON/OFF time mask for inter-band CA</w:t>
            </w: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11" w:name="_Toc61372851"/>
            <w:bookmarkStart w:id="512" w:name="_Toc69084208"/>
            <w:bookmarkStart w:id="513" w:name="_Toc68230795"/>
            <w:bookmarkStart w:id="514" w:name="_Toc83580551"/>
            <w:bookmarkStart w:id="515" w:name="_Toc76509240"/>
            <w:bookmarkStart w:id="516" w:name="_Toc84413669"/>
            <w:bookmarkStart w:id="517" w:name="_Toc76718230"/>
            <w:bookmarkStart w:id="518" w:name="_Toc61367468"/>
            <w:bookmarkStart w:id="519" w:name="_Toc75467218"/>
            <w:bookmarkStart w:id="520" w:name="_Toc84405060"/>
            <w:r>
              <w:rPr>
                <w:rFonts w:hint="eastAsia" w:ascii="Times New Roman" w:hAnsi="Times New Roman" w:eastAsia="宋体" w:cs="Times New Roman"/>
                <w:b w:val="0"/>
                <w:bCs w:val="0"/>
                <w:kern w:val="2"/>
                <w:sz w:val="21"/>
                <w:szCs w:val="22"/>
                <w:vertAlign w:val="baseline"/>
                <w:lang w:val="en-US" w:eastAsia="zh-CN" w:bidi="ar-SA"/>
              </w:rPr>
              <w:t>6.3A.4.3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Power control for inter-band CA</w:t>
            </w:r>
            <w:bookmarkEnd w:id="511"/>
            <w:bookmarkEnd w:id="512"/>
            <w:bookmarkEnd w:id="513"/>
            <w:bookmarkEnd w:id="514"/>
            <w:bookmarkEnd w:id="515"/>
            <w:bookmarkEnd w:id="516"/>
            <w:bookmarkEnd w:id="517"/>
            <w:bookmarkEnd w:id="518"/>
            <w:bookmarkEnd w:id="519"/>
            <w:bookmarkEnd w:id="520"/>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No requirements unique to CA operation are defined.</w:t>
            </w:r>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21" w:name="_Toc84405128"/>
            <w:bookmarkStart w:id="522" w:name="_Toc76718288"/>
            <w:bookmarkStart w:id="523" w:name="_Toc84413737"/>
            <w:bookmarkStart w:id="524" w:name="_Toc83580619"/>
            <w:bookmarkStart w:id="525" w:name="_Toc61367522"/>
            <w:bookmarkStart w:id="526" w:name="_Toc75467276"/>
            <w:bookmarkStart w:id="527" w:name="_Toc76509298"/>
            <w:bookmarkStart w:id="528" w:name="_Toc61372905"/>
            <w:bookmarkStart w:id="529" w:name="_Toc69084266"/>
            <w:bookmarkStart w:id="530" w:name="_Toc68230853"/>
            <w:r>
              <w:rPr>
                <w:rFonts w:hint="eastAsia" w:ascii="Times New Roman" w:hAnsi="Times New Roman" w:eastAsia="宋体" w:cs="Times New Roman"/>
                <w:b w:val="0"/>
                <w:bCs w:val="0"/>
                <w:kern w:val="2"/>
                <w:sz w:val="21"/>
                <w:szCs w:val="22"/>
                <w:vertAlign w:val="baseline"/>
                <w:lang w:val="en-US" w:eastAsia="zh-CN" w:bidi="ar-SA"/>
              </w:rPr>
              <w:t>6.4A.1.3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Frequency error for inter-band CA</w:t>
            </w:r>
            <w:bookmarkEnd w:id="521"/>
            <w:bookmarkEnd w:id="522"/>
            <w:bookmarkEnd w:id="523"/>
            <w:bookmarkEnd w:id="524"/>
            <w:bookmarkEnd w:id="525"/>
            <w:bookmarkEnd w:id="526"/>
            <w:bookmarkEnd w:id="527"/>
            <w:bookmarkEnd w:id="528"/>
            <w:bookmarkEnd w:id="529"/>
            <w:bookmarkEnd w:id="530"/>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6.4A.2.3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modulation quality for inter-band CA</w:t>
            </w:r>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31" w:name="_Toc69084362"/>
            <w:bookmarkStart w:id="532" w:name="_Toc76509394"/>
            <w:bookmarkStart w:id="533" w:name="_Toc84413841"/>
            <w:bookmarkStart w:id="534" w:name="_Toc83580723"/>
            <w:bookmarkStart w:id="535" w:name="_Toc61367617"/>
            <w:bookmarkStart w:id="536" w:name="_Toc84405232"/>
            <w:bookmarkStart w:id="537" w:name="_Toc68230949"/>
            <w:bookmarkStart w:id="538" w:name="_Toc76718384"/>
            <w:bookmarkStart w:id="539" w:name="_Toc61373000"/>
            <w:bookmarkStart w:id="540" w:name="_Toc75467372"/>
            <w:r>
              <w:rPr>
                <w:rFonts w:hint="eastAsia" w:ascii="Times New Roman" w:hAnsi="Times New Roman" w:eastAsia="宋体" w:cs="Times New Roman"/>
                <w:b w:val="0"/>
                <w:bCs w:val="0"/>
                <w:kern w:val="2"/>
                <w:sz w:val="21"/>
                <w:szCs w:val="22"/>
                <w:vertAlign w:val="baseline"/>
                <w:lang w:val="en-US" w:eastAsia="zh-CN" w:bidi="ar-SA"/>
              </w:rPr>
              <w:t>6.5A.1.3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Occupied bandwidth for Inter-band CA</w:t>
            </w:r>
            <w:bookmarkEnd w:id="531"/>
            <w:bookmarkEnd w:id="532"/>
            <w:bookmarkEnd w:id="533"/>
            <w:bookmarkEnd w:id="534"/>
            <w:bookmarkEnd w:id="535"/>
            <w:bookmarkEnd w:id="536"/>
            <w:bookmarkEnd w:id="537"/>
            <w:bookmarkEnd w:id="538"/>
            <w:bookmarkEnd w:id="539"/>
            <w:bookmarkEnd w:id="540"/>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6.5A.2.2.3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Spectrum emission mask for Inter-band CA</w:t>
            </w:r>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41" w:name="_Toc83580734"/>
            <w:bookmarkStart w:id="542" w:name="_Toc76509406"/>
            <w:bookmarkStart w:id="543" w:name="_Toc68230961"/>
            <w:bookmarkStart w:id="544" w:name="_Toc84413852"/>
            <w:bookmarkStart w:id="545" w:name="_Toc61373012"/>
            <w:bookmarkStart w:id="546" w:name="_Toc75467384"/>
            <w:bookmarkStart w:id="547" w:name="_Toc69084374"/>
            <w:bookmarkStart w:id="548" w:name="_Toc76718396"/>
            <w:bookmarkStart w:id="549" w:name="_Toc61367629"/>
            <w:bookmarkStart w:id="550" w:name="_Toc84405243"/>
            <w:r>
              <w:rPr>
                <w:rFonts w:hint="eastAsia" w:ascii="Times New Roman" w:hAnsi="Times New Roman" w:eastAsia="宋体" w:cs="Times New Roman"/>
                <w:b w:val="0"/>
                <w:bCs w:val="0"/>
                <w:kern w:val="2"/>
                <w:sz w:val="21"/>
                <w:szCs w:val="22"/>
                <w:vertAlign w:val="baseline"/>
                <w:lang w:val="en-US" w:eastAsia="zh-CN" w:bidi="ar-SA"/>
              </w:rPr>
              <w:t>6.5A.2.3.3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Additional spectrum emission mask for Inter-band CA</w:t>
            </w:r>
            <w:bookmarkEnd w:id="541"/>
            <w:bookmarkEnd w:id="542"/>
            <w:bookmarkEnd w:id="543"/>
            <w:bookmarkEnd w:id="544"/>
            <w:bookmarkEnd w:id="545"/>
            <w:bookmarkEnd w:id="546"/>
            <w:bookmarkEnd w:id="547"/>
            <w:bookmarkEnd w:id="548"/>
            <w:bookmarkEnd w:id="549"/>
            <w:bookmarkEnd w:id="550"/>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51" w:name="_Toc68230970"/>
            <w:bookmarkStart w:id="552" w:name="_Toc75467393"/>
            <w:bookmarkStart w:id="553" w:name="_Toc61373021"/>
            <w:bookmarkStart w:id="554" w:name="_Toc83580743"/>
            <w:bookmarkStart w:id="555" w:name="_Toc61367638"/>
            <w:bookmarkStart w:id="556" w:name="_Toc76509415"/>
            <w:bookmarkStart w:id="557" w:name="_Toc76718405"/>
            <w:bookmarkStart w:id="558" w:name="_Toc84405252"/>
            <w:bookmarkStart w:id="559" w:name="_Toc84413861"/>
            <w:bookmarkStart w:id="560" w:name="_Toc69084383"/>
            <w:r>
              <w:rPr>
                <w:rFonts w:hint="eastAsia" w:ascii="Times New Roman" w:hAnsi="Times New Roman" w:eastAsia="宋体" w:cs="Times New Roman"/>
                <w:b w:val="0"/>
                <w:bCs w:val="0"/>
                <w:kern w:val="2"/>
                <w:sz w:val="21"/>
                <w:szCs w:val="22"/>
                <w:vertAlign w:val="baseline"/>
                <w:lang w:val="en-US" w:eastAsia="zh-CN" w:bidi="ar-SA"/>
              </w:rPr>
              <w:t>6.5A.3.2.3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UE co-existence for Inter-band CA</w:t>
            </w:r>
            <w:bookmarkEnd w:id="551"/>
            <w:bookmarkEnd w:id="552"/>
            <w:bookmarkEnd w:id="553"/>
            <w:bookmarkEnd w:id="554"/>
            <w:bookmarkEnd w:id="555"/>
            <w:bookmarkEnd w:id="556"/>
            <w:bookmarkEnd w:id="557"/>
            <w:bookmarkEnd w:id="558"/>
            <w:bookmarkEnd w:id="559"/>
            <w:bookmarkEnd w:id="560"/>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61" w:name="_Toc84413947"/>
            <w:bookmarkStart w:id="562" w:name="_Toc29802348"/>
            <w:bookmarkStart w:id="563" w:name="_Toc61373096"/>
            <w:bookmarkStart w:id="564" w:name="_Toc29802973"/>
            <w:bookmarkStart w:id="565" w:name="_Toc84405338"/>
            <w:bookmarkStart w:id="566" w:name="_Toc29801924"/>
            <w:bookmarkStart w:id="567" w:name="_Toc36107715"/>
            <w:bookmarkStart w:id="568" w:name="_Toc69084459"/>
            <w:bookmarkStart w:id="569" w:name="_Toc83580829"/>
            <w:bookmarkStart w:id="570" w:name="_Toc76718482"/>
            <w:bookmarkStart w:id="571" w:name="_Toc45888396"/>
            <w:bookmarkStart w:id="572" w:name="_Toc75467470"/>
            <w:bookmarkStart w:id="573" w:name="_Toc37251489"/>
            <w:bookmarkStart w:id="574" w:name="_Toc45888995"/>
            <w:bookmarkStart w:id="575" w:name="_Toc21344437"/>
            <w:bookmarkStart w:id="576" w:name="_Toc76509492"/>
            <w:bookmarkStart w:id="577" w:name="_Toc68231046"/>
            <w:bookmarkStart w:id="578" w:name="_Toc61367713"/>
            <w:r>
              <w:rPr>
                <w:rFonts w:hint="eastAsia" w:ascii="Times New Roman" w:hAnsi="Times New Roman" w:eastAsia="宋体" w:cs="Times New Roman"/>
                <w:b w:val="0"/>
                <w:bCs w:val="0"/>
                <w:kern w:val="2"/>
                <w:sz w:val="21"/>
                <w:szCs w:val="22"/>
                <w:vertAlign w:val="baseline"/>
                <w:lang w:val="en-US" w:eastAsia="zh-CN" w:bidi="ar-SA"/>
              </w:rPr>
              <w:t>7.3A.2.3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Reference sensitivity power level for Inter-band CA</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Reference sensitivity power level for Inter-band CA</w:t>
            </w:r>
          </w:p>
          <w:p>
            <w:pPr>
              <w:keepNext w:val="0"/>
              <w:keepLines w:val="0"/>
              <w:suppressLineNumbers w:val="0"/>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clause 7.3A.3.2. </w:t>
            </w:r>
            <w:r>
              <w:rPr>
                <w:rFonts w:hint="default"/>
                <w:highlight w:val="none"/>
              </w:rPr>
              <w:t xml:space="preserve">The reference sensitivity is defined to be met with </w:t>
            </w:r>
            <w:r>
              <w:rPr>
                <w:rFonts w:hint="default"/>
                <w:highlight w:val="none"/>
                <w:lang w:eastAsia="zh-CN"/>
              </w:rPr>
              <w:t>all</w:t>
            </w:r>
            <w:r>
              <w:rPr>
                <w:rFonts w:hint="default"/>
                <w:highlight w:val="none"/>
              </w:rPr>
              <w:t xml:space="preserve"> downlink component carriers active and one of the uplink carriers active.</w:t>
            </w:r>
            <w:r>
              <w:rPr>
                <w:rFonts w:hint="default"/>
              </w:rPr>
              <w:t xml:space="preserve"> Exceptions to reference sensitivity are allowed in accordance with clause 7.3A.4.</w:t>
            </w:r>
          </w:p>
          <w:p>
            <w:pPr>
              <w:keepNext w:val="0"/>
              <w:keepLines w:val="0"/>
              <w:widowControl/>
              <w:suppressLineNumbers w:val="0"/>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79" w:name="_Toc84413951"/>
            <w:bookmarkStart w:id="580" w:name="_Toc61367717"/>
            <w:bookmarkStart w:id="581" w:name="_Toc29802352"/>
            <w:bookmarkStart w:id="582" w:name="_Toc75467474"/>
            <w:bookmarkStart w:id="583" w:name="_Toc45888400"/>
            <w:bookmarkStart w:id="584" w:name="_Toc76718486"/>
            <w:bookmarkStart w:id="585" w:name="_Toc76509496"/>
            <w:bookmarkStart w:id="586" w:name="_Toc37251493"/>
            <w:bookmarkStart w:id="587" w:name="_Toc68231050"/>
            <w:bookmarkStart w:id="588" w:name="_Toc29801928"/>
            <w:bookmarkStart w:id="589" w:name="_Toc45888999"/>
            <w:bookmarkStart w:id="590" w:name="_Toc61373100"/>
            <w:bookmarkStart w:id="591" w:name="_Toc83580833"/>
            <w:bookmarkStart w:id="592" w:name="_Toc29802977"/>
            <w:bookmarkStart w:id="593" w:name="_Toc69084463"/>
            <w:bookmarkStart w:id="594" w:name="_Toc84405342"/>
            <w:bookmarkStart w:id="595" w:name="_Toc21344441"/>
            <w:bookmarkStart w:id="596" w:name="_Toc36107719"/>
            <w:r>
              <w:rPr>
                <w:rFonts w:hint="eastAsia" w:ascii="Times New Roman" w:hAnsi="Times New Roman" w:eastAsia="宋体" w:cs="Times New Roman"/>
                <w:b w:val="0"/>
                <w:bCs w:val="0"/>
                <w:kern w:val="2"/>
                <w:sz w:val="21"/>
                <w:szCs w:val="22"/>
                <w:vertAlign w:val="baseline"/>
                <w:lang w:val="en-US" w:eastAsia="zh-CN" w:bidi="ar-SA"/>
              </w:rPr>
              <w:t>7.3A.3.2</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ΔRIB,c for Inter-band CA</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 xml:space="preserve">It can refer to value of the NR CA inter-band n3-n39.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suppressLineNumbers w:val="0"/>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597" w:name="_Toc29802998"/>
            <w:bookmarkStart w:id="598" w:name="_Toc36107740"/>
            <w:bookmarkStart w:id="599" w:name="_Toc29801949"/>
            <w:bookmarkStart w:id="600" w:name="_Toc61367751"/>
            <w:bookmarkStart w:id="601" w:name="_Toc83580869"/>
            <w:bookmarkStart w:id="602" w:name="_Toc69084497"/>
            <w:bookmarkStart w:id="603" w:name="_Toc21344461"/>
            <w:bookmarkStart w:id="604" w:name="_Toc84405378"/>
            <w:bookmarkStart w:id="605" w:name="_Toc61373134"/>
            <w:bookmarkStart w:id="606" w:name="_Toc29802373"/>
            <w:bookmarkStart w:id="607" w:name="_Toc76718522"/>
            <w:bookmarkStart w:id="608" w:name="_Toc45888426"/>
            <w:bookmarkStart w:id="609" w:name="_Toc45889025"/>
            <w:bookmarkStart w:id="610" w:name="_Toc84413987"/>
            <w:bookmarkStart w:id="611" w:name="_Toc68231084"/>
            <w:bookmarkStart w:id="612" w:name="_Toc76509532"/>
            <w:bookmarkStart w:id="613" w:name="_Toc75467510"/>
            <w:bookmarkStart w:id="614" w:name="_Toc37251514"/>
            <w:r>
              <w:rPr>
                <w:rFonts w:hint="eastAsia" w:ascii="Times New Roman" w:hAnsi="Times New Roman" w:eastAsia="宋体" w:cs="Times New Roman"/>
                <w:b w:val="0"/>
                <w:bCs w:val="0"/>
                <w:kern w:val="2"/>
                <w:sz w:val="21"/>
                <w:szCs w:val="22"/>
                <w:vertAlign w:val="baseline"/>
                <w:lang w:val="en-US" w:eastAsia="zh-CN" w:bidi="ar-SA"/>
              </w:rPr>
              <w:t>7.4A.3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Maximum input level for Inter-band CA</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Maximum input level for Inter-band CA</w:t>
            </w:r>
          </w:p>
          <w:p>
            <w:pPr>
              <w:keepNext w:val="0"/>
              <w:keepLines w:val="0"/>
              <w:suppressLineNumbers w:val="0"/>
              <w:spacing w:before="0" w:beforeAutospacing="0" w:afterAutospacing="0"/>
              <w:ind w:left="0" w:right="0"/>
              <w:rPr>
                <w:rFonts w:hint="default"/>
              </w:rPr>
            </w:pPr>
            <w:r>
              <w:rPr>
                <w:rFonts w:hint="default"/>
              </w:rPr>
              <w:t>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7.4</w:t>
            </w:r>
            <w:r>
              <w:rPr>
                <w:rFonts w:hint="eastAsia"/>
                <w:lang w:val="en-US" w:eastAsia="zh-CN"/>
              </w:rPr>
              <w:t>J</w:t>
            </w:r>
            <w:r>
              <w:rPr>
                <w:rFonts w:hint="default"/>
              </w:rPr>
              <w:t xml:space="preserve"> for each component carrier while all downlink carriers are active.</w:t>
            </w:r>
          </w:p>
          <w:p>
            <w:pPr>
              <w:keepNext w:val="0"/>
              <w:keepLines w:val="0"/>
              <w:suppressLineNumbers w:val="0"/>
              <w:spacing w:before="0" w:beforeAutospacing="0" w:afterAutospacing="0"/>
              <w:ind w:left="0" w:right="0"/>
              <w:rPr>
                <w:rFonts w:hint="default"/>
              </w:rPr>
            </w:pPr>
            <w:r>
              <w:rPr>
                <w:rFonts w:hint="default"/>
              </w:rPr>
              <w:t>The throughput shall be ≥ 95 % of the maximum throughput of the reference measurement channels as specified in Annexs A.3.2 and A.3.3 (with one sided dynamic OCNG Pattern OP.1 FDD/TDD as described in Annex A.5.1.1/A.5.2.1) for each component carrier.</w:t>
            </w:r>
          </w:p>
          <w:p>
            <w:pPr>
              <w:keepNext w:val="0"/>
              <w:keepLines w:val="0"/>
              <w:widowControl/>
              <w:suppressLineNumbers w:val="0"/>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suppressLineNumbers w:val="0"/>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615" w:name="_Toc61367761"/>
            <w:bookmarkStart w:id="616" w:name="_Toc36107746"/>
            <w:bookmarkStart w:id="617" w:name="_Toc75467520"/>
            <w:bookmarkStart w:id="618" w:name="_Toc29803004"/>
            <w:bookmarkStart w:id="619" w:name="_Toc76718532"/>
            <w:bookmarkStart w:id="620" w:name="_Toc76509542"/>
            <w:bookmarkStart w:id="621" w:name="_Toc45889035"/>
            <w:bookmarkStart w:id="622" w:name="_Toc69084507"/>
            <w:bookmarkStart w:id="623" w:name="_Toc83580879"/>
            <w:bookmarkStart w:id="624" w:name="_Toc29801955"/>
            <w:bookmarkStart w:id="625" w:name="_Toc37251520"/>
            <w:bookmarkStart w:id="626" w:name="_Toc61373144"/>
            <w:bookmarkStart w:id="627" w:name="_Toc68231094"/>
            <w:bookmarkStart w:id="628" w:name="_Toc21344467"/>
            <w:bookmarkStart w:id="629" w:name="_Toc29802379"/>
            <w:bookmarkStart w:id="630" w:name="_Toc45888436"/>
            <w:bookmarkStart w:id="631" w:name="_Toc84413997"/>
            <w:bookmarkStart w:id="632" w:name="_Toc84405388"/>
            <w:r>
              <w:rPr>
                <w:rFonts w:hint="eastAsia" w:ascii="Times New Roman" w:hAnsi="Times New Roman" w:eastAsia="宋体" w:cs="Times New Roman"/>
                <w:b w:val="0"/>
                <w:bCs w:val="0"/>
                <w:kern w:val="2"/>
                <w:sz w:val="21"/>
                <w:szCs w:val="22"/>
                <w:vertAlign w:val="baseline"/>
                <w:lang w:val="en-US" w:eastAsia="zh-CN" w:bidi="ar-SA"/>
              </w:rPr>
              <w:t>7.5A.3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Adjacent channel selectivity Inter-band CA</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suppressLineNumbers w:val="0"/>
              <w:spacing w:before="0" w:beforeAutospacing="0" w:afterAutospacing="0"/>
              <w:ind w:left="0" w:right="0"/>
              <w:rPr>
                <w:rFonts w:hint="default"/>
              </w:rPr>
            </w:pPr>
            <w:r>
              <w:rPr>
                <w:rFonts w:hint="eastAsia" w:ascii="Times New Roman" w:hAnsi="Times New Roman" w:eastAsia="宋体" w:cs="Times New Roman"/>
                <w:b/>
                <w:bCs/>
                <w:kern w:val="2"/>
                <w:sz w:val="21"/>
                <w:szCs w:val="22"/>
                <w:vertAlign w:val="baseline"/>
                <w:lang w:val="en-US" w:eastAsia="zh-CN" w:bidi="ar-SA"/>
              </w:rPr>
              <w:t>Adjacent channel selectivity Inter-band CA</w:t>
            </w:r>
          </w:p>
          <w:p>
            <w:pPr>
              <w:keepNext w:val="0"/>
              <w:keepLines w:val="0"/>
              <w:suppressLineNumbers w:val="0"/>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w:t>
            </w:r>
            <w:r>
              <w:rPr>
                <w:rFonts w:hint="eastAsia"/>
                <w:lang w:val="en-US" w:eastAsia="zh-CN"/>
              </w:rPr>
              <w:t xml:space="preserve">ATG </w:t>
            </w:r>
            <w:r>
              <w:rPr>
                <w:rFonts w:hint="default"/>
              </w:rPr>
              <w:t>UE shall meet the requirements specified in clause 7.5</w:t>
            </w:r>
            <w:r>
              <w:rPr>
                <w:rFonts w:hint="eastAsia"/>
                <w:lang w:val="en-US" w:eastAsia="zh-CN"/>
              </w:rPr>
              <w:t>J</w:t>
            </w:r>
            <w:r>
              <w:rPr>
                <w:rFonts w:hint="default"/>
              </w:rPr>
              <w:t>, for each component carrier while all downlink carriers are active.</w:t>
            </w:r>
          </w:p>
          <w:p>
            <w:pPr>
              <w:keepNext w:val="0"/>
              <w:keepLines w:val="0"/>
              <w:suppressLineNumbers w:val="0"/>
              <w:spacing w:before="0" w:beforeAutospacing="0" w:afterAutospacing="0"/>
              <w:ind w:left="0" w:right="0"/>
              <w:rPr>
                <w:rFonts w:hint="default"/>
              </w:rPr>
            </w:pPr>
            <w:r>
              <w:rPr>
                <w:rFonts w:hint="default"/>
              </w:rPr>
              <w:t>The throughput of each carrier shall be ≥ 95 % of the maximum throughput of the reference measurement channels as specified in Annexes A.2.2, A.3.2, and A.3.3 (with one sided dynamic OCNG Pattern OP.1 FDD/TDD for the DL-signal as described in Annex A.5.1.1/A.5.2.1).</w:t>
            </w:r>
          </w:p>
          <w:p>
            <w:pPr>
              <w:keepNext w:val="0"/>
              <w:keepLines w:val="0"/>
              <w:widowControl/>
              <w:suppressLineNumbers w:val="0"/>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33" w:name="_Toc61373163"/>
            <w:bookmarkStart w:id="634" w:name="_Toc29802391"/>
            <w:bookmarkStart w:id="635" w:name="_Toc69084526"/>
            <w:bookmarkStart w:id="636" w:name="_Toc75467539"/>
            <w:bookmarkStart w:id="637" w:name="_Toc83580898"/>
            <w:bookmarkStart w:id="638" w:name="_Toc21344479"/>
            <w:bookmarkStart w:id="639" w:name="_Toc45888452"/>
            <w:bookmarkStart w:id="640" w:name="_Toc84414016"/>
            <w:bookmarkStart w:id="641" w:name="_Toc84405407"/>
            <w:bookmarkStart w:id="642" w:name="_Toc36107758"/>
            <w:bookmarkStart w:id="643" w:name="_Toc37251532"/>
            <w:bookmarkStart w:id="644" w:name="_Toc61367780"/>
            <w:bookmarkStart w:id="645" w:name="_Toc76509561"/>
            <w:bookmarkStart w:id="646" w:name="_Toc29801967"/>
            <w:bookmarkStart w:id="647" w:name="_Toc76718551"/>
            <w:bookmarkStart w:id="648" w:name="_Toc45889051"/>
            <w:bookmarkStart w:id="649" w:name="_Toc68231113"/>
            <w:bookmarkStart w:id="650" w:name="_Toc29803016"/>
            <w:r>
              <w:rPr>
                <w:rFonts w:hint="eastAsia" w:ascii="Times New Roman" w:hAnsi="Times New Roman" w:eastAsia="宋体" w:cs="Times New Roman"/>
                <w:b w:val="0"/>
                <w:bCs w:val="0"/>
                <w:kern w:val="2"/>
                <w:sz w:val="21"/>
                <w:szCs w:val="22"/>
                <w:vertAlign w:val="baseline"/>
                <w:lang w:val="en-US" w:eastAsia="zh-CN" w:bidi="ar-SA"/>
              </w:rPr>
              <w:t>7.6A.2.3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In-band blocking for Inter-band CA</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51" w:name="_Toc36107762"/>
            <w:bookmarkStart w:id="652" w:name="_Toc84414020"/>
            <w:bookmarkStart w:id="653" w:name="_Toc29803020"/>
            <w:bookmarkStart w:id="654" w:name="_Toc61367784"/>
            <w:bookmarkStart w:id="655" w:name="_Toc75467543"/>
            <w:bookmarkStart w:id="656" w:name="_Toc21344483"/>
            <w:bookmarkStart w:id="657" w:name="_Toc69084530"/>
            <w:bookmarkStart w:id="658" w:name="_Toc61373167"/>
            <w:bookmarkStart w:id="659" w:name="_Toc45888456"/>
            <w:bookmarkStart w:id="660" w:name="_Toc68231117"/>
            <w:bookmarkStart w:id="661" w:name="_Toc29801971"/>
            <w:bookmarkStart w:id="662" w:name="_Toc83580902"/>
            <w:bookmarkStart w:id="663" w:name="_Toc84405411"/>
            <w:bookmarkStart w:id="664" w:name="_Toc76509565"/>
            <w:bookmarkStart w:id="665" w:name="_Toc76718555"/>
            <w:bookmarkStart w:id="666" w:name="_Toc29802395"/>
            <w:bookmarkStart w:id="667" w:name="_Toc45889055"/>
            <w:bookmarkStart w:id="668" w:name="_Toc37251536"/>
            <w:r>
              <w:rPr>
                <w:rFonts w:hint="eastAsia" w:ascii="Times New Roman" w:hAnsi="Times New Roman" w:eastAsia="宋体" w:cs="Times New Roman"/>
                <w:b w:val="0"/>
                <w:bCs w:val="0"/>
                <w:kern w:val="2"/>
                <w:sz w:val="21"/>
                <w:szCs w:val="22"/>
                <w:vertAlign w:val="baseline"/>
                <w:lang w:val="en-US" w:eastAsia="zh-CN" w:bidi="ar-SA"/>
              </w:rPr>
              <w:t>7.6A.3.3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Out-of-band blocking for Inter-band CA</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7.6A.3.3</w:t>
            </w:r>
            <w:r>
              <w:rPr>
                <w:rFonts w:hint="eastAsia"/>
                <w:lang w:val="en-US" w:eastAsia="zh-CN"/>
              </w:rPr>
              <w:t>. And no OOB exception for CA_n3-n39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69" w:name="_Toc61367788"/>
            <w:bookmarkStart w:id="670" w:name="_Toc84414024"/>
            <w:bookmarkStart w:id="671" w:name="_Toc45888460"/>
            <w:bookmarkStart w:id="672" w:name="_Toc76509569"/>
            <w:bookmarkStart w:id="673" w:name="_Toc75467547"/>
            <w:bookmarkStart w:id="674" w:name="_Toc29801975"/>
            <w:bookmarkStart w:id="675" w:name="_Toc68231121"/>
            <w:bookmarkStart w:id="676" w:name="_Toc84405415"/>
            <w:bookmarkStart w:id="677" w:name="_Toc69084534"/>
            <w:bookmarkStart w:id="678" w:name="_Toc21344487"/>
            <w:bookmarkStart w:id="679" w:name="_Toc37251540"/>
            <w:bookmarkStart w:id="680" w:name="_Toc29802399"/>
            <w:bookmarkStart w:id="681" w:name="_Toc83580906"/>
            <w:bookmarkStart w:id="682" w:name="_Toc36107766"/>
            <w:bookmarkStart w:id="683" w:name="_Toc29803024"/>
            <w:bookmarkStart w:id="684" w:name="_Toc45889059"/>
            <w:bookmarkStart w:id="685" w:name="_Toc61373171"/>
            <w:bookmarkStart w:id="686" w:name="_Toc76718559"/>
            <w:r>
              <w:rPr>
                <w:rFonts w:hint="eastAsia" w:ascii="Times New Roman" w:hAnsi="Times New Roman" w:eastAsia="宋体" w:cs="Times New Roman"/>
                <w:b w:val="0"/>
                <w:bCs w:val="0"/>
                <w:kern w:val="2"/>
                <w:sz w:val="21"/>
                <w:szCs w:val="22"/>
                <w:vertAlign w:val="baseline"/>
                <w:lang w:val="en-US" w:eastAsia="zh-CN" w:bidi="ar-SA"/>
              </w:rPr>
              <w:t>7.6A.4.3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Narrow band blocking for Inter-band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tc>
        <w:tc>
          <w:tcPr>
            <w:tcW w:w="4981" w:type="dxa"/>
          </w:tcPr>
          <w:p>
            <w:pPr>
              <w:keepNext w:val="0"/>
              <w:keepLines w:val="0"/>
              <w:widowControl/>
              <w:suppressLineNumbers w:val="0"/>
              <w:spacing w:before="0" w:beforeAutospacing="0" w:afterAutospacing="0"/>
              <w:ind w:left="0" w:right="0"/>
              <w:jc w:val="left"/>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suppressLineNumbers w:val="0"/>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687" w:name="_Toc76509597"/>
            <w:bookmarkStart w:id="688" w:name="_Toc61367816"/>
            <w:bookmarkStart w:id="689" w:name="_Toc84414052"/>
            <w:bookmarkStart w:id="690" w:name="_Toc61373199"/>
            <w:bookmarkStart w:id="691" w:name="_Toc29803035"/>
            <w:bookmarkStart w:id="692" w:name="_Toc45889079"/>
            <w:bookmarkStart w:id="693" w:name="_Toc37251551"/>
            <w:bookmarkStart w:id="694" w:name="_Toc83580934"/>
            <w:bookmarkStart w:id="695" w:name="_Toc29801986"/>
            <w:bookmarkStart w:id="696" w:name="_Toc75467575"/>
            <w:bookmarkStart w:id="697" w:name="_Toc84405443"/>
            <w:bookmarkStart w:id="698" w:name="_Toc76718587"/>
            <w:bookmarkStart w:id="699" w:name="_Toc21344498"/>
            <w:bookmarkStart w:id="700" w:name="_Toc68231149"/>
            <w:bookmarkStart w:id="701" w:name="_Toc69084562"/>
            <w:bookmarkStart w:id="702" w:name="_Toc36107777"/>
            <w:bookmarkStart w:id="703" w:name="_Toc29802410"/>
            <w:bookmarkStart w:id="704" w:name="_Toc45888480"/>
            <w:r>
              <w:rPr>
                <w:rFonts w:hint="eastAsia" w:ascii="Times New Roman" w:hAnsi="Times New Roman" w:eastAsia="宋体" w:cs="Times New Roman"/>
                <w:b w:val="0"/>
                <w:bCs w:val="0"/>
                <w:kern w:val="2"/>
                <w:sz w:val="21"/>
                <w:szCs w:val="22"/>
                <w:vertAlign w:val="baseline"/>
                <w:lang w:val="en-US" w:eastAsia="zh-CN" w:bidi="ar-SA"/>
              </w:rPr>
              <w:t>7.7A.3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response for Inter-band CA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7.7A.3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705" w:name="_Toc45889093"/>
            <w:bookmarkStart w:id="706" w:name="_Toc75467592"/>
            <w:bookmarkStart w:id="707" w:name="_Toc84414069"/>
            <w:bookmarkStart w:id="708" w:name="_Toc84405460"/>
            <w:bookmarkStart w:id="709" w:name="_Toc29801996"/>
            <w:bookmarkStart w:id="710" w:name="_Toc68231166"/>
            <w:bookmarkStart w:id="711" w:name="_Toc45888494"/>
            <w:bookmarkStart w:id="712" w:name="_Toc76509614"/>
            <w:bookmarkStart w:id="713" w:name="_Toc69084579"/>
            <w:bookmarkStart w:id="714" w:name="_Toc83580951"/>
            <w:bookmarkStart w:id="715" w:name="_Toc29803045"/>
            <w:bookmarkStart w:id="716" w:name="_Toc37251561"/>
            <w:bookmarkStart w:id="717" w:name="_Toc36107787"/>
            <w:bookmarkStart w:id="718" w:name="_Toc61367833"/>
            <w:bookmarkStart w:id="719" w:name="_Toc61373216"/>
            <w:bookmarkStart w:id="720" w:name="_Toc29802420"/>
            <w:bookmarkStart w:id="721" w:name="_Toc21344508"/>
            <w:bookmarkStart w:id="722" w:name="_Toc76718604"/>
            <w:r>
              <w:rPr>
                <w:rFonts w:hint="eastAsia" w:ascii="Times New Roman" w:hAnsi="Times New Roman" w:eastAsia="宋体" w:cs="Times New Roman"/>
                <w:b w:val="0"/>
                <w:bCs w:val="0"/>
                <w:kern w:val="2"/>
                <w:sz w:val="21"/>
                <w:szCs w:val="22"/>
                <w:vertAlign w:val="baseline"/>
                <w:lang w:val="en-US" w:eastAsia="zh-CN" w:bidi="ar-SA"/>
              </w:rPr>
              <w:t>7.8A.2.3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Wide band intermodulation for Inter-band CA</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pPr>
              <w:pStyle w:val="5"/>
              <w:suppressLineNumbers w:val="0"/>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7.8A.2.3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suppressLineNumbers w:val="0"/>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723" w:name="_Toc76718618"/>
            <w:bookmarkStart w:id="724" w:name="_Toc36107793"/>
            <w:bookmarkStart w:id="725" w:name="_Toc68231180"/>
            <w:bookmarkStart w:id="726" w:name="_Toc84405474"/>
            <w:bookmarkStart w:id="727" w:name="_Toc84414083"/>
            <w:bookmarkStart w:id="728" w:name="_Toc61373230"/>
            <w:bookmarkStart w:id="729" w:name="_Toc69084593"/>
            <w:bookmarkStart w:id="730" w:name="_Toc29803051"/>
            <w:bookmarkStart w:id="731" w:name="_Toc61367847"/>
            <w:bookmarkStart w:id="732" w:name="_Toc75467606"/>
            <w:bookmarkStart w:id="733" w:name="_Toc76509628"/>
            <w:bookmarkStart w:id="734" w:name="_Toc21344514"/>
            <w:bookmarkStart w:id="735" w:name="_Toc83580965"/>
            <w:bookmarkStart w:id="736" w:name="_Toc29802426"/>
            <w:bookmarkStart w:id="737" w:name="_Toc45889104"/>
            <w:bookmarkStart w:id="738" w:name="_Toc37251567"/>
            <w:bookmarkStart w:id="739" w:name="_Toc29802002"/>
            <w:bookmarkStart w:id="740" w:name="_Toc45888505"/>
            <w:r>
              <w:rPr>
                <w:rFonts w:hint="eastAsia" w:ascii="Times New Roman" w:hAnsi="Times New Roman" w:eastAsia="宋体" w:cs="Times New Roman"/>
                <w:b w:val="0"/>
                <w:bCs w:val="0"/>
                <w:kern w:val="2"/>
                <w:sz w:val="21"/>
                <w:szCs w:val="22"/>
                <w:vertAlign w:val="baseline"/>
                <w:lang w:val="en-US" w:eastAsia="zh-CN" w:bidi="ar-SA"/>
              </w:rPr>
              <w:t>7.9A.3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Inter-band CA</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pPr>
              <w:keepNext w:val="0"/>
              <w:keepLines w:val="0"/>
              <w:widowControl/>
              <w:suppressLineNumbers w:val="0"/>
              <w:tabs>
                <w:tab w:val="left" w:pos="605"/>
              </w:tabs>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7.9A.3</w:t>
            </w:r>
          </w:p>
        </w:tc>
      </w:tr>
    </w:tbl>
    <w:p>
      <w:pPr>
        <w:tabs>
          <w:tab w:val="left" w:pos="2127"/>
        </w:tabs>
        <w:spacing w:after="0"/>
        <w:rPr>
          <w:rFonts w:hint="default"/>
          <w:lang w:val="en-US" w:eastAsia="zh-CN"/>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UL MIMO with 2 layers should be specified for ATG UE in Rel-19. </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3</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each UE, and it is not needed to define MPR/A-MPR requirements for ATG UE supporting UL MIMO[since there will be power tolerance requirement defined.]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for transmit OFF power, to reuse the existing requirements in clause 6.3D.2 for two antenna connectors.</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6</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eastAsia"/>
          <w:b w:val="0"/>
          <w:bCs w:val="0"/>
          <w:highlight w:val="none"/>
          <w:lang w:val="en-US" w:eastAsia="zh-CN"/>
        </w:rPr>
      </w:pPr>
      <w:r>
        <w:rPr>
          <w:rFonts w:hint="eastAsia"/>
          <w:b/>
          <w:bCs/>
          <w:highlight w:val="none"/>
          <w:lang w:val="en-US" w:eastAsia="zh-CN"/>
        </w:rPr>
        <w:t>Proposal 7</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i w:val="0"/>
          <w:iCs w:val="0"/>
          <w:highlight w:val="none"/>
          <w:lang w:val="en-US" w:eastAsia="zh-CN"/>
        </w:rPr>
        <w:t>Proposal 8</w:t>
      </w:r>
      <w:r>
        <w:rPr>
          <w:rFonts w:hint="eastAsia"/>
          <w:b w:val="0"/>
          <w:bCs w:val="0"/>
          <w:highlight w:val="none"/>
          <w:lang w:val="en-US" w:eastAsia="zh-CN"/>
        </w:rPr>
        <w:t>: for frequency error requirement, to define as following:</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9</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10</w:t>
      </w:r>
      <w:r>
        <w:rPr>
          <w:rFonts w:hint="eastAsia"/>
          <w:highlight w:val="none"/>
          <w:lang w:val="en-US" w:eastAsia="zh-CN"/>
        </w:rPr>
        <w:t>: for TAE requirement for UL MIMO, reuse the existing requirement in clause 6.4D.3.</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11</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12</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13</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14</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REFSENS requirements, reuse the same REFSENS requirement as specified 7.3J.</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maximum input power, reuse the same maximum input power requirement as specified 7.4J.</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ACS requirement, reuse the same ACS requirement as specified 7.5J.</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 for blocking requirement, reuse the same blocking requirement as specified 7.6J.</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:for receiver spurious response requirement,  reuse the same spurious response requirement as specified 7.7J.</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21</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22</w:t>
      </w:r>
      <w:r>
        <w:rPr>
          <w:rFonts w:hint="eastAsia"/>
          <w:highlight w:val="none"/>
          <w:lang w:val="en-US" w:eastAsia="zh-CN"/>
        </w:rPr>
        <w:t xml:space="preserve">: for RF requirements for intra-band DL CA, refer to proposals in table 2.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23</w:t>
      </w:r>
      <w:r>
        <w:rPr>
          <w:rFonts w:hint="eastAsia"/>
          <w:highlight w:val="none"/>
          <w:lang w:val="en-US" w:eastAsia="zh-CN"/>
        </w:rPr>
        <w:t xml:space="preserve">: for RF requirements for inter-band DL CA, refer to the proposals in table 3. </w:t>
      </w:r>
    </w:p>
    <w:p>
      <w:pPr>
        <w:pStyle w:val="57"/>
        <w:tabs>
          <w:tab w:val="left" w:pos="567"/>
          <w:tab w:val="clear" w:pos="1985"/>
        </w:tabs>
        <w:adjustRightInd w:val="0"/>
        <w:ind w:left="510" w:hanging="510"/>
      </w:pPr>
      <w:r>
        <w:t>References</w:t>
      </w:r>
    </w:p>
    <w:p>
      <w:pPr>
        <w:pStyle w:val="55"/>
        <w:numPr>
          <w:ilvl w:val="0"/>
          <w:numId w:val="4"/>
        </w:numPr>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pPr>
        <w:pStyle w:val="55"/>
        <w:numPr>
          <w:ilvl w:val="0"/>
          <w:numId w:val="4"/>
        </w:numPr>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numPr>
          <w:ilvl w:val="0"/>
          <w:numId w:val="4"/>
        </w:numPr>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F5B83"/>
    <w:multiLevelType w:val="singleLevel"/>
    <w:tmpl w:val="AC1F5B83"/>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342"/>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80A61"/>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A069EC"/>
    <w:rsid w:val="7FA11DE1"/>
    <w:rsid w:val="7FB351E6"/>
    <w:rsid w:val="7FB422D4"/>
    <w:rsid w:val="7FCE5F2D"/>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2024-04-08T15:33:36Z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